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9BA38F" w14:textId="77777777" w:rsidR="00DA07F3" w:rsidRPr="00E83B49" w:rsidRDefault="00DA07F3" w:rsidP="00DA07F3">
      <w:pPr>
        <w:spacing w:line="276" w:lineRule="auto"/>
        <w:ind w:left="284"/>
        <w:jc w:val="both"/>
        <w:rPr>
          <w:rFonts w:ascii="Times New Roman" w:hAnsi="Times New Roman" w:cs="Times New Roman"/>
          <w:sz w:val="24"/>
          <w:szCs w:val="24"/>
          <w:lang w:val="it-IT"/>
        </w:rPr>
      </w:pPr>
    </w:p>
    <w:p w14:paraId="21DE7533" w14:textId="77777777" w:rsidR="00DA07F3" w:rsidRDefault="00DA07F3" w:rsidP="00DA07F3">
      <w:pPr>
        <w:spacing w:line="276" w:lineRule="auto"/>
        <w:jc w:val="both"/>
        <w:rPr>
          <w:rFonts w:ascii="Times New Roman" w:hAnsi="Times New Roman" w:cs="Times New Roman"/>
          <w:b/>
          <w:sz w:val="24"/>
          <w:szCs w:val="24"/>
          <w:lang w:val="it-IT"/>
        </w:rPr>
      </w:pPr>
      <w:r w:rsidRPr="00E83B49">
        <w:rPr>
          <w:rFonts w:ascii="Times New Roman" w:hAnsi="Times New Roman" w:cs="Times New Roman"/>
          <w:b/>
          <w:sz w:val="24"/>
          <w:szCs w:val="24"/>
          <w:lang w:val="it-IT"/>
        </w:rPr>
        <w:t>AUDIZIONE PRESSO LA IX COMMISSIONE TRASPORTI, CAMERA DEI DEPUTATI</w:t>
      </w:r>
      <w:r w:rsidRPr="00E83B49">
        <w:rPr>
          <w:rFonts w:ascii="Times New Roman" w:hAnsi="Times New Roman" w:cs="Times New Roman"/>
          <w:sz w:val="24"/>
          <w:szCs w:val="24"/>
          <w:lang w:val="it-IT"/>
        </w:rPr>
        <w:t xml:space="preserve"> </w:t>
      </w:r>
      <w:r w:rsidRPr="00E83B49">
        <w:rPr>
          <w:rFonts w:ascii="Times New Roman" w:hAnsi="Times New Roman" w:cs="Times New Roman"/>
          <w:b/>
          <w:sz w:val="24"/>
          <w:szCs w:val="24"/>
          <w:lang w:val="it-IT"/>
        </w:rPr>
        <w:t>ANALISI GIURIDICA DEL "PACCHETTO PASSEGGERI" DELLA COMMISSIONE EUROPEA (COM(2026)231, COM(2026)232, COM(2026)233)</w:t>
      </w:r>
    </w:p>
    <w:p w14:paraId="6E42ED9B" w14:textId="77777777" w:rsidR="00DA07F3" w:rsidRDefault="00DA07F3" w:rsidP="00DA07F3">
      <w:pPr>
        <w:jc w:val="center"/>
        <w:rPr>
          <w:rFonts w:ascii="Times New Roman" w:hAnsi="Times New Roman" w:cs="Times New Roman"/>
          <w:sz w:val="24"/>
          <w:szCs w:val="24"/>
          <w:lang w:val="it-IT"/>
        </w:rPr>
      </w:pPr>
    </w:p>
    <w:p w14:paraId="37BA1D8F" w14:textId="708B3718" w:rsidR="00C62997" w:rsidRPr="00C62997" w:rsidRDefault="00C62997" w:rsidP="00C62997">
      <w:pPr>
        <w:spacing w:line="276" w:lineRule="auto"/>
        <w:jc w:val="center"/>
        <w:rPr>
          <w:rFonts w:ascii="Times New Roman" w:hAnsi="Times New Roman" w:cs="Times New Roman"/>
          <w:sz w:val="24"/>
          <w:szCs w:val="24"/>
          <w:lang w:val="it-IT"/>
        </w:rPr>
      </w:pPr>
      <w:r w:rsidRPr="00C62997">
        <w:rPr>
          <w:rFonts w:ascii="Times New Roman" w:hAnsi="Times New Roman" w:cs="Times New Roman"/>
          <w:sz w:val="24"/>
          <w:szCs w:val="24"/>
          <w:lang w:val="it-IT"/>
        </w:rPr>
        <w:t>AVV. MARIA</w:t>
      </w:r>
      <w:r>
        <w:rPr>
          <w:rFonts w:ascii="Times New Roman" w:hAnsi="Times New Roman" w:cs="Times New Roman"/>
          <w:sz w:val="24"/>
          <w:szCs w:val="24"/>
          <w:lang w:val="it-IT"/>
        </w:rPr>
        <w:t xml:space="preserve"> </w:t>
      </w:r>
      <w:r w:rsidRPr="00C62997">
        <w:rPr>
          <w:rFonts w:ascii="Times New Roman" w:hAnsi="Times New Roman" w:cs="Times New Roman"/>
          <w:sz w:val="24"/>
          <w:szCs w:val="24"/>
          <w:lang w:val="it-IT"/>
        </w:rPr>
        <w:t>LAURA FICOLA</w:t>
      </w:r>
    </w:p>
    <w:p w14:paraId="24E96BAB" w14:textId="27CD8DB4" w:rsidR="00DA07F3" w:rsidRDefault="00C62997" w:rsidP="00C62997">
      <w:pPr>
        <w:spacing w:line="276" w:lineRule="auto"/>
        <w:jc w:val="center"/>
        <w:rPr>
          <w:rFonts w:ascii="Times New Roman" w:hAnsi="Times New Roman" w:cs="Times New Roman"/>
          <w:i/>
          <w:iCs/>
          <w:sz w:val="24"/>
          <w:szCs w:val="24"/>
          <w:lang w:val="it-IT"/>
        </w:rPr>
      </w:pPr>
      <w:r w:rsidRPr="00C62997">
        <w:rPr>
          <w:rFonts w:ascii="Times New Roman" w:hAnsi="Times New Roman" w:cs="Times New Roman"/>
          <w:sz w:val="24"/>
          <w:szCs w:val="24"/>
          <w:lang w:val="it-IT"/>
        </w:rPr>
        <w:t>(</w:t>
      </w:r>
      <w:r w:rsidRPr="00C62997">
        <w:rPr>
          <w:rFonts w:ascii="Times New Roman" w:hAnsi="Times New Roman" w:cs="Times New Roman"/>
          <w:i/>
          <w:iCs/>
          <w:sz w:val="24"/>
          <w:szCs w:val="24"/>
          <w:lang w:val="it-IT"/>
        </w:rPr>
        <w:t xml:space="preserve">Avvocato specialista in di Diritto dell’UE – Presidente </w:t>
      </w:r>
      <w:proofErr w:type="spellStart"/>
      <w:r w:rsidRPr="00C62997">
        <w:rPr>
          <w:rFonts w:ascii="Times New Roman" w:hAnsi="Times New Roman" w:cs="Times New Roman"/>
          <w:i/>
          <w:iCs/>
          <w:sz w:val="24"/>
          <w:szCs w:val="24"/>
          <w:lang w:val="it-IT"/>
        </w:rPr>
        <w:t>Assoutenti</w:t>
      </w:r>
      <w:proofErr w:type="spellEnd"/>
      <w:r w:rsidRPr="00C62997">
        <w:rPr>
          <w:rFonts w:ascii="Times New Roman" w:hAnsi="Times New Roman" w:cs="Times New Roman"/>
          <w:i/>
          <w:iCs/>
          <w:sz w:val="24"/>
          <w:szCs w:val="24"/>
          <w:lang w:val="it-IT"/>
        </w:rPr>
        <w:t xml:space="preserve"> Umbria</w:t>
      </w:r>
      <w:r w:rsidRPr="00C62997">
        <w:rPr>
          <w:rFonts w:ascii="Times New Roman" w:hAnsi="Times New Roman" w:cs="Times New Roman"/>
          <w:sz w:val="24"/>
          <w:szCs w:val="24"/>
          <w:lang w:val="it-IT"/>
        </w:rPr>
        <w:t>)</w:t>
      </w:r>
      <w:r w:rsidRPr="00C62997">
        <w:rPr>
          <w:rFonts w:ascii="Times New Roman" w:hAnsi="Times New Roman" w:cs="Times New Roman"/>
          <w:sz w:val="24"/>
          <w:szCs w:val="24"/>
          <w:lang w:val="it-IT"/>
        </w:rPr>
        <w:t xml:space="preserve"> </w:t>
      </w:r>
    </w:p>
    <w:p w14:paraId="29D44841" w14:textId="77777777" w:rsidR="00DA07F3" w:rsidRDefault="00DA07F3" w:rsidP="00DA07F3">
      <w:pPr>
        <w:spacing w:line="276" w:lineRule="auto"/>
        <w:jc w:val="center"/>
        <w:rPr>
          <w:rFonts w:ascii="Times New Roman" w:hAnsi="Times New Roman" w:cs="Times New Roman"/>
          <w:sz w:val="24"/>
          <w:szCs w:val="24"/>
          <w:lang w:val="it-IT"/>
        </w:rPr>
      </w:pPr>
    </w:p>
    <w:p w14:paraId="272CE8A6" w14:textId="77777777" w:rsidR="00DA07F3" w:rsidRDefault="00DA07F3" w:rsidP="00DA07F3">
      <w:pPr>
        <w:spacing w:line="276" w:lineRule="auto"/>
        <w:jc w:val="center"/>
        <w:rPr>
          <w:rFonts w:ascii="Times New Roman" w:hAnsi="Times New Roman" w:cs="Times New Roman"/>
          <w:sz w:val="24"/>
          <w:szCs w:val="24"/>
          <w:lang w:val="it-IT"/>
        </w:rPr>
      </w:pPr>
    </w:p>
    <w:p w14:paraId="12C0933A" w14:textId="77777777" w:rsidR="00C62997" w:rsidRDefault="00AE5E66" w:rsidP="00C62997">
      <w:pPr>
        <w:spacing w:line="276" w:lineRule="auto"/>
        <w:ind w:firstLine="567"/>
        <w:rPr>
          <w:rFonts w:ascii="Times New Roman" w:hAnsi="Times New Roman" w:cs="Times New Roman"/>
          <w:sz w:val="24"/>
          <w:szCs w:val="24"/>
          <w:lang w:val="it-IT"/>
        </w:rPr>
      </w:pPr>
      <w:r w:rsidRPr="00C62997">
        <w:rPr>
          <w:rFonts w:ascii="Times New Roman" w:hAnsi="Times New Roman" w:cs="Times New Roman"/>
          <w:b/>
          <w:bCs/>
          <w:sz w:val="24"/>
          <w:szCs w:val="24"/>
          <w:lang w:val="it-IT"/>
        </w:rPr>
        <w:t>1. Premessa e valutazione generale</w:t>
      </w:r>
      <w:r w:rsidRPr="00AE5E66">
        <w:rPr>
          <w:rFonts w:ascii="Times New Roman" w:hAnsi="Times New Roman" w:cs="Times New Roman"/>
          <w:sz w:val="24"/>
          <w:szCs w:val="24"/>
          <w:lang w:val="it-IT"/>
        </w:rPr>
        <w:t xml:space="preserve"> </w:t>
      </w:r>
    </w:p>
    <w:p w14:paraId="214EF8B7" w14:textId="77777777" w:rsidR="00C62997" w:rsidRDefault="00AE5E66" w:rsidP="00C62997">
      <w:pPr>
        <w:spacing w:line="276" w:lineRule="auto"/>
        <w:ind w:firstLine="567"/>
        <w:jc w:val="both"/>
        <w:rPr>
          <w:rFonts w:ascii="Times New Roman" w:hAnsi="Times New Roman" w:cs="Times New Roman"/>
          <w:sz w:val="24"/>
          <w:szCs w:val="24"/>
          <w:lang w:val="it-IT"/>
        </w:rPr>
      </w:pPr>
      <w:proofErr w:type="spellStart"/>
      <w:r w:rsidRPr="00AE5E66">
        <w:rPr>
          <w:rFonts w:ascii="Times New Roman" w:hAnsi="Times New Roman" w:cs="Times New Roman"/>
          <w:sz w:val="24"/>
          <w:szCs w:val="24"/>
          <w:lang w:val="it-IT"/>
        </w:rPr>
        <w:t>Assoutenti</w:t>
      </w:r>
      <w:proofErr w:type="spellEnd"/>
      <w:r w:rsidRPr="00AE5E66">
        <w:rPr>
          <w:rFonts w:ascii="Times New Roman" w:hAnsi="Times New Roman" w:cs="Times New Roman"/>
          <w:sz w:val="24"/>
          <w:szCs w:val="24"/>
          <w:lang w:val="it-IT"/>
        </w:rPr>
        <w:t xml:space="preserve"> accoglie con favore l'iniziativa della Commissione europea volta a riformare il quadro normativo del trasporto passeggeri. Le proposte COM(2026)231, COM(2026)232 e COM(2026)233 rispondono a esigenze concrete e a lungo sentite dai consumatori europei: semplificare l'acquisto di viaggi </w:t>
      </w:r>
      <w:proofErr w:type="spellStart"/>
      <w:r w:rsidRPr="00AE5E66">
        <w:rPr>
          <w:rFonts w:ascii="Times New Roman" w:hAnsi="Times New Roman" w:cs="Times New Roman"/>
          <w:sz w:val="24"/>
          <w:szCs w:val="24"/>
          <w:lang w:val="it-IT"/>
        </w:rPr>
        <w:t>multioperatore</w:t>
      </w:r>
      <w:proofErr w:type="spellEnd"/>
      <w:r w:rsidRPr="00AE5E66">
        <w:rPr>
          <w:rFonts w:ascii="Times New Roman" w:hAnsi="Times New Roman" w:cs="Times New Roman"/>
          <w:sz w:val="24"/>
          <w:szCs w:val="24"/>
          <w:lang w:val="it-IT"/>
        </w:rPr>
        <w:t xml:space="preserve"> e transfrontalieri e, soprattutto, garantire una tutela efficace e uniforme in caso di disservizi. </w:t>
      </w:r>
    </w:p>
    <w:p w14:paraId="69B7C82F" w14:textId="6DA84D29" w:rsidR="00AE5E66" w:rsidRPr="00AE5E66" w:rsidRDefault="00AE5E66" w:rsidP="00C62997">
      <w:pPr>
        <w:spacing w:line="276" w:lineRule="auto"/>
        <w:ind w:firstLine="567"/>
        <w:jc w:val="both"/>
        <w:rPr>
          <w:rFonts w:ascii="Times New Roman" w:hAnsi="Times New Roman" w:cs="Times New Roman"/>
          <w:sz w:val="24"/>
          <w:szCs w:val="24"/>
          <w:lang w:val="it-IT"/>
        </w:rPr>
      </w:pPr>
      <w:r w:rsidRPr="00AE5E66">
        <w:rPr>
          <w:rFonts w:ascii="Times New Roman" w:hAnsi="Times New Roman" w:cs="Times New Roman"/>
          <w:sz w:val="24"/>
          <w:szCs w:val="24"/>
          <w:lang w:val="it-IT"/>
        </w:rPr>
        <w:t>Riteniamo che l'intervento a livello di Unione sia giustificato dal principio di sussidiarietà, data la natura intrinsecamente transfrontaliera del mercato digitale dei viaggi e il rischio di frammentazione normativa qualora la materia fosse lasciata ai singoli Stati membri.</w:t>
      </w:r>
    </w:p>
    <w:p w14:paraId="10DA6C5F" w14:textId="77777777" w:rsidR="00C62997" w:rsidRDefault="00AE5E66" w:rsidP="00C62997">
      <w:pPr>
        <w:spacing w:line="276" w:lineRule="auto"/>
        <w:ind w:firstLine="567"/>
        <w:rPr>
          <w:rFonts w:ascii="Times New Roman" w:hAnsi="Times New Roman" w:cs="Times New Roman"/>
          <w:sz w:val="24"/>
          <w:szCs w:val="24"/>
          <w:lang w:val="it-IT"/>
        </w:rPr>
      </w:pPr>
      <w:r w:rsidRPr="00C62997">
        <w:rPr>
          <w:rFonts w:ascii="Times New Roman" w:hAnsi="Times New Roman" w:cs="Times New Roman"/>
          <w:b/>
          <w:bCs/>
          <w:sz w:val="24"/>
          <w:szCs w:val="24"/>
          <w:lang w:val="it-IT"/>
        </w:rPr>
        <w:t>2. Il "Biglietto Unico": un'innovazione cruciale per i consumatori</w:t>
      </w:r>
      <w:r w:rsidRPr="00AE5E66">
        <w:rPr>
          <w:rFonts w:ascii="Times New Roman" w:hAnsi="Times New Roman" w:cs="Times New Roman"/>
          <w:sz w:val="24"/>
          <w:szCs w:val="24"/>
          <w:lang w:val="it-IT"/>
        </w:rPr>
        <w:t xml:space="preserve"> </w:t>
      </w:r>
    </w:p>
    <w:p w14:paraId="69E00A17" w14:textId="77777777" w:rsidR="00C62997" w:rsidRDefault="00AE5E66" w:rsidP="00C62997">
      <w:pPr>
        <w:spacing w:line="276" w:lineRule="auto"/>
        <w:ind w:firstLine="567"/>
        <w:jc w:val="both"/>
        <w:rPr>
          <w:rFonts w:ascii="Times New Roman" w:hAnsi="Times New Roman" w:cs="Times New Roman"/>
          <w:sz w:val="24"/>
          <w:szCs w:val="24"/>
          <w:lang w:val="it-IT"/>
        </w:rPr>
      </w:pPr>
      <w:r w:rsidRPr="00AE5E66">
        <w:rPr>
          <w:rFonts w:ascii="Times New Roman" w:hAnsi="Times New Roman" w:cs="Times New Roman"/>
          <w:sz w:val="24"/>
          <w:szCs w:val="24"/>
          <w:lang w:val="it-IT"/>
        </w:rPr>
        <w:t>La novità più significativa del pacchetto è l'introduzione della nozione di "biglietto unico" nella proposta COM(2026)233, definito come:</w:t>
      </w:r>
      <w:r w:rsidR="00C62997">
        <w:rPr>
          <w:rFonts w:ascii="Times New Roman" w:hAnsi="Times New Roman" w:cs="Times New Roman"/>
          <w:sz w:val="24"/>
          <w:szCs w:val="24"/>
          <w:lang w:val="it-IT"/>
        </w:rPr>
        <w:t xml:space="preserve"> </w:t>
      </w:r>
      <w:r w:rsidRPr="00C62997">
        <w:rPr>
          <w:rFonts w:ascii="Times New Roman" w:hAnsi="Times New Roman" w:cs="Times New Roman"/>
          <w:i/>
          <w:iCs/>
          <w:sz w:val="24"/>
          <w:szCs w:val="24"/>
          <w:lang w:val="it-IT"/>
        </w:rPr>
        <w:t>"una prova valida, indipendentemente dalla sua forma, di un biglietto cumulativo o della conclusione di due o più contratti di trasporto per un viaggio acquistato nel contesto di un'unica transazione commerciale con un'impresa ferroviaria, un venditore di biglietti o un tour operator"</w:t>
      </w:r>
      <w:r w:rsidRPr="00AE5E66">
        <w:rPr>
          <w:rFonts w:ascii="Times New Roman" w:hAnsi="Times New Roman" w:cs="Times New Roman"/>
          <w:sz w:val="24"/>
          <w:szCs w:val="24"/>
          <w:lang w:val="it-IT"/>
        </w:rPr>
        <w:t xml:space="preserve"> [COM(2026) 233 final.pdf]. </w:t>
      </w:r>
    </w:p>
    <w:p w14:paraId="329B4E89" w14:textId="77777777" w:rsidR="00C62997" w:rsidRDefault="00AE5E66" w:rsidP="00C62997">
      <w:pPr>
        <w:spacing w:line="276" w:lineRule="auto"/>
        <w:ind w:firstLine="567"/>
        <w:jc w:val="both"/>
        <w:rPr>
          <w:rFonts w:ascii="Times New Roman" w:hAnsi="Times New Roman" w:cs="Times New Roman"/>
          <w:sz w:val="24"/>
          <w:szCs w:val="24"/>
          <w:lang w:val="it-IT"/>
        </w:rPr>
      </w:pPr>
      <w:r w:rsidRPr="00AE5E66">
        <w:rPr>
          <w:rFonts w:ascii="Times New Roman" w:hAnsi="Times New Roman" w:cs="Times New Roman"/>
          <w:sz w:val="24"/>
          <w:szCs w:val="24"/>
          <w:lang w:val="it-IT"/>
        </w:rPr>
        <w:t>Questa definizione estende i diritti all'assistenza, al rimborso, all'itinerario alternativo e all'indennizzo all'intero viaggio, superando la frammentazione contrattuale che oggi espone i passeggeri a un vuoto di tutela in caso di perdita di coincidenza.</w:t>
      </w:r>
    </w:p>
    <w:p w14:paraId="2E4CDB71" w14:textId="77777777" w:rsidR="00C62997" w:rsidRDefault="00AE5E66" w:rsidP="00C62997">
      <w:pPr>
        <w:spacing w:line="276" w:lineRule="auto"/>
        <w:ind w:firstLine="567"/>
        <w:jc w:val="both"/>
        <w:rPr>
          <w:rFonts w:ascii="Times New Roman" w:hAnsi="Times New Roman" w:cs="Times New Roman"/>
          <w:sz w:val="24"/>
          <w:szCs w:val="24"/>
          <w:lang w:val="it-IT"/>
        </w:rPr>
      </w:pPr>
      <w:r w:rsidRPr="00C62997">
        <w:rPr>
          <w:rFonts w:ascii="Times New Roman" w:hAnsi="Times New Roman" w:cs="Times New Roman"/>
          <w:b/>
          <w:bCs/>
          <w:sz w:val="24"/>
          <w:szCs w:val="24"/>
          <w:lang w:val="it-IT"/>
        </w:rPr>
        <w:t>3. Criticità da risolvere e proposte di modifica</w:t>
      </w:r>
      <w:r w:rsidRPr="00AE5E66">
        <w:rPr>
          <w:rFonts w:ascii="Times New Roman" w:hAnsi="Times New Roman" w:cs="Times New Roman"/>
          <w:sz w:val="24"/>
          <w:szCs w:val="24"/>
          <w:lang w:val="it-IT"/>
        </w:rPr>
        <w:t xml:space="preserve"> </w:t>
      </w:r>
    </w:p>
    <w:p w14:paraId="4D896534" w14:textId="77777777" w:rsidR="00C62997" w:rsidRDefault="00AE5E66" w:rsidP="00C62997">
      <w:pPr>
        <w:spacing w:line="276" w:lineRule="auto"/>
        <w:ind w:firstLine="567"/>
        <w:jc w:val="both"/>
        <w:rPr>
          <w:rFonts w:ascii="Times New Roman" w:hAnsi="Times New Roman" w:cs="Times New Roman"/>
          <w:sz w:val="24"/>
          <w:szCs w:val="24"/>
          <w:lang w:val="it-IT"/>
        </w:rPr>
      </w:pPr>
      <w:r w:rsidRPr="00AE5E66">
        <w:rPr>
          <w:rFonts w:ascii="Times New Roman" w:hAnsi="Times New Roman" w:cs="Times New Roman"/>
          <w:sz w:val="24"/>
          <w:szCs w:val="24"/>
          <w:lang w:val="it-IT"/>
        </w:rPr>
        <w:t>Per garantire la piena effettività di tali diritti, sollecitiamo l'attenzione del Parlamento su alcuni aspetti che necessitano di essere rafforzati nel corso dell'iter legislativo.</w:t>
      </w:r>
    </w:p>
    <w:p w14:paraId="2E9F8B07" w14:textId="77777777" w:rsidR="00C62997" w:rsidRDefault="00AE5E66" w:rsidP="00C62997">
      <w:pPr>
        <w:spacing w:line="276" w:lineRule="auto"/>
        <w:ind w:firstLine="567"/>
        <w:jc w:val="both"/>
        <w:rPr>
          <w:rFonts w:ascii="Times New Roman" w:hAnsi="Times New Roman" w:cs="Times New Roman"/>
          <w:sz w:val="24"/>
          <w:szCs w:val="24"/>
          <w:lang w:val="it-IT"/>
        </w:rPr>
      </w:pPr>
      <w:r w:rsidRPr="00C62997">
        <w:rPr>
          <w:rFonts w:ascii="Times New Roman" w:hAnsi="Times New Roman" w:cs="Times New Roman"/>
          <w:b/>
          <w:bCs/>
          <w:i/>
          <w:iCs/>
          <w:sz w:val="24"/>
          <w:szCs w:val="24"/>
          <w:lang w:val="it-IT"/>
        </w:rPr>
        <w:t>3.1. L'individuazione di un responsabile unico</w:t>
      </w:r>
      <w:r w:rsidRPr="00AE5E66">
        <w:rPr>
          <w:rFonts w:ascii="Times New Roman" w:hAnsi="Times New Roman" w:cs="Times New Roman"/>
          <w:sz w:val="24"/>
          <w:szCs w:val="24"/>
          <w:lang w:val="it-IT"/>
        </w:rPr>
        <w:t xml:space="preserve">: il principio dello "sportello unico" La proposta COM(2026)233 distribuisce la responsabilità tra impresa ferroviaria, venditore di biglietti e tour operator [COM(2026) 233 final.pdf]. Questo schema, seppur più chiaro del vuoto normativo attuale, rischia di generare incertezza e un "rimpallo di responsabilità" a danno del passeggero. </w:t>
      </w:r>
    </w:p>
    <w:p w14:paraId="3F63A68B" w14:textId="77777777" w:rsidR="00C62997" w:rsidRDefault="00AE5E66" w:rsidP="00C62997">
      <w:pPr>
        <w:spacing w:line="276" w:lineRule="auto"/>
        <w:ind w:firstLine="567"/>
        <w:jc w:val="both"/>
        <w:rPr>
          <w:rFonts w:ascii="Times New Roman" w:hAnsi="Times New Roman" w:cs="Times New Roman"/>
          <w:sz w:val="24"/>
          <w:szCs w:val="24"/>
          <w:lang w:val="it-IT"/>
        </w:rPr>
      </w:pPr>
      <w:r w:rsidRPr="00AE5E66">
        <w:rPr>
          <w:rFonts w:ascii="Times New Roman" w:hAnsi="Times New Roman" w:cs="Times New Roman"/>
          <w:sz w:val="24"/>
          <w:szCs w:val="24"/>
          <w:lang w:val="it-IT"/>
        </w:rPr>
        <w:t>Proponiamo di modificare la normativa per introdurre un principio di responsabilità solidale o, in subordine, l'obbligo di uno "sportello unico": il passeggero deve poter rivolgere ogni sua richiesta (assistenza, rimborso, indennizzo) a un unico soggetto (ad esempio, il venditore del biglietto o il primo vettore), il quale sarà tenuto a soddisfarla, salvo poi esercitare il proprio diritto di rivalsa nei confronti degli altri operatori coinvolti secondo le rispettive responsabilità.</w:t>
      </w:r>
    </w:p>
    <w:p w14:paraId="66E1DAB4" w14:textId="6CF90639" w:rsidR="00AE5E66" w:rsidRPr="00AE5E66" w:rsidRDefault="00AE5E66" w:rsidP="00C62997">
      <w:pPr>
        <w:spacing w:line="276" w:lineRule="auto"/>
        <w:ind w:firstLine="567"/>
        <w:jc w:val="both"/>
        <w:rPr>
          <w:rFonts w:ascii="Times New Roman" w:hAnsi="Times New Roman" w:cs="Times New Roman"/>
          <w:sz w:val="24"/>
          <w:szCs w:val="24"/>
          <w:lang w:val="it-IT"/>
        </w:rPr>
      </w:pPr>
      <w:r w:rsidRPr="00C62997">
        <w:rPr>
          <w:rFonts w:ascii="Times New Roman" w:hAnsi="Times New Roman" w:cs="Times New Roman"/>
          <w:b/>
          <w:bCs/>
          <w:i/>
          <w:iCs/>
          <w:sz w:val="24"/>
          <w:szCs w:val="24"/>
          <w:lang w:val="it-IT"/>
        </w:rPr>
        <w:lastRenderedPageBreak/>
        <w:t>3.2. Trasparenza informativa precontrattuale</w:t>
      </w:r>
      <w:r w:rsidR="00C62997">
        <w:rPr>
          <w:rFonts w:ascii="Times New Roman" w:hAnsi="Times New Roman" w:cs="Times New Roman"/>
          <w:i/>
          <w:iCs/>
          <w:sz w:val="24"/>
          <w:szCs w:val="24"/>
          <w:lang w:val="it-IT"/>
        </w:rPr>
        <w:t>:</w:t>
      </w:r>
      <w:r w:rsidRPr="00AE5E66">
        <w:rPr>
          <w:rFonts w:ascii="Times New Roman" w:hAnsi="Times New Roman" w:cs="Times New Roman"/>
          <w:sz w:val="24"/>
          <w:szCs w:val="24"/>
          <w:lang w:val="it-IT"/>
        </w:rPr>
        <w:t xml:space="preserve"> L'informazione è il primo strumento di tutela. È essenziale che le piattaforme di prenotazione e i venditori (MDMS) siano obbligati a fornire, in modo chiaro, standardizzato e ben visibile prima della conclusione dell'acquisto, le seguenti informazioni:</w:t>
      </w:r>
    </w:p>
    <w:p w14:paraId="01900F20" w14:textId="44773BBC" w:rsidR="00AE5E66" w:rsidRPr="00C62997" w:rsidRDefault="00AE5E66" w:rsidP="00C62997">
      <w:pPr>
        <w:pStyle w:val="Paragrafoelenco"/>
        <w:numPr>
          <w:ilvl w:val="0"/>
          <w:numId w:val="3"/>
        </w:numPr>
        <w:spacing w:line="276" w:lineRule="auto"/>
        <w:ind w:left="993" w:hanging="283"/>
        <w:rPr>
          <w:rFonts w:ascii="Times New Roman" w:hAnsi="Times New Roman" w:cs="Times New Roman"/>
          <w:sz w:val="24"/>
          <w:szCs w:val="24"/>
          <w:lang w:val="it-IT"/>
        </w:rPr>
      </w:pPr>
      <w:r w:rsidRPr="00C62997">
        <w:rPr>
          <w:rFonts w:ascii="Times New Roman" w:hAnsi="Times New Roman" w:cs="Times New Roman"/>
          <w:sz w:val="24"/>
          <w:szCs w:val="24"/>
          <w:lang w:val="it-IT"/>
        </w:rPr>
        <w:t>Se il viaggio offerto costituisce un "biglietto unico" ai sensi del regolamento.</w:t>
      </w:r>
    </w:p>
    <w:p w14:paraId="0EA0E90A" w14:textId="615B551A" w:rsidR="00AE5E66" w:rsidRPr="00C62997" w:rsidRDefault="00AE5E66" w:rsidP="00C62997">
      <w:pPr>
        <w:pStyle w:val="Paragrafoelenco"/>
        <w:numPr>
          <w:ilvl w:val="0"/>
          <w:numId w:val="3"/>
        </w:numPr>
        <w:spacing w:line="276" w:lineRule="auto"/>
        <w:ind w:left="993" w:hanging="283"/>
        <w:rPr>
          <w:rFonts w:ascii="Times New Roman" w:hAnsi="Times New Roman" w:cs="Times New Roman"/>
          <w:sz w:val="24"/>
          <w:szCs w:val="24"/>
          <w:lang w:val="it-IT"/>
        </w:rPr>
      </w:pPr>
      <w:r w:rsidRPr="00C62997">
        <w:rPr>
          <w:rFonts w:ascii="Times New Roman" w:hAnsi="Times New Roman" w:cs="Times New Roman"/>
          <w:sz w:val="24"/>
          <w:szCs w:val="24"/>
          <w:lang w:val="it-IT"/>
        </w:rPr>
        <w:t>I diritti che ne derivano in caso di perdita di coincidenza.</w:t>
      </w:r>
    </w:p>
    <w:p w14:paraId="4E18D0C4" w14:textId="4739E88C" w:rsidR="00AE5E66" w:rsidRPr="00C62997" w:rsidRDefault="00AE5E66" w:rsidP="00C62997">
      <w:pPr>
        <w:pStyle w:val="Paragrafoelenco"/>
        <w:numPr>
          <w:ilvl w:val="0"/>
          <w:numId w:val="3"/>
        </w:numPr>
        <w:spacing w:line="276" w:lineRule="auto"/>
        <w:ind w:left="993" w:hanging="283"/>
        <w:rPr>
          <w:rFonts w:ascii="Times New Roman" w:hAnsi="Times New Roman" w:cs="Times New Roman"/>
          <w:sz w:val="24"/>
          <w:szCs w:val="24"/>
          <w:lang w:val="it-IT"/>
        </w:rPr>
      </w:pPr>
      <w:r w:rsidRPr="00C62997">
        <w:rPr>
          <w:rFonts w:ascii="Times New Roman" w:hAnsi="Times New Roman" w:cs="Times New Roman"/>
          <w:sz w:val="24"/>
          <w:szCs w:val="24"/>
          <w:lang w:val="it-IT"/>
        </w:rPr>
        <w:t>L'identità del soggetto responsabile che fornirà assistenza e gestirà i rimborsi.</w:t>
      </w:r>
    </w:p>
    <w:p w14:paraId="368C0687" w14:textId="77777777" w:rsidR="00C62997" w:rsidRDefault="00AE5E66" w:rsidP="00C62997">
      <w:pPr>
        <w:pStyle w:val="Paragrafoelenco"/>
        <w:numPr>
          <w:ilvl w:val="0"/>
          <w:numId w:val="3"/>
        </w:numPr>
        <w:spacing w:line="276" w:lineRule="auto"/>
        <w:ind w:left="993" w:hanging="283"/>
        <w:rPr>
          <w:rFonts w:ascii="Times New Roman" w:hAnsi="Times New Roman" w:cs="Times New Roman"/>
          <w:sz w:val="24"/>
          <w:szCs w:val="24"/>
          <w:lang w:val="it-IT"/>
        </w:rPr>
      </w:pPr>
      <w:r w:rsidRPr="00C62997">
        <w:rPr>
          <w:rFonts w:ascii="Times New Roman" w:hAnsi="Times New Roman" w:cs="Times New Roman"/>
          <w:sz w:val="24"/>
          <w:szCs w:val="24"/>
          <w:lang w:val="it-IT"/>
        </w:rPr>
        <w:t>L'eventuale applicazione di limitazioni (es. sul calcolo dell'indennizzo per viaggi superiori a 12 ore) [COM(2026) 233 final.pdf].</w:t>
      </w:r>
    </w:p>
    <w:p w14:paraId="40399A48" w14:textId="77777777" w:rsidR="00C62997" w:rsidRDefault="00AE5E66" w:rsidP="00C62997">
      <w:pPr>
        <w:spacing w:line="276" w:lineRule="auto"/>
        <w:ind w:firstLine="709"/>
        <w:jc w:val="both"/>
        <w:rPr>
          <w:rFonts w:ascii="Times New Roman" w:hAnsi="Times New Roman" w:cs="Times New Roman"/>
          <w:sz w:val="24"/>
          <w:szCs w:val="24"/>
          <w:lang w:val="it-IT"/>
        </w:rPr>
      </w:pPr>
      <w:r w:rsidRPr="00C62997">
        <w:rPr>
          <w:rFonts w:ascii="Times New Roman" w:hAnsi="Times New Roman" w:cs="Times New Roman"/>
          <w:b/>
          <w:bCs/>
          <w:i/>
          <w:iCs/>
          <w:sz w:val="24"/>
          <w:szCs w:val="24"/>
          <w:lang w:val="it-IT"/>
        </w:rPr>
        <w:t>3.3. Neutralità algoritmica e controlli</w:t>
      </w:r>
      <w:r w:rsidR="00C62997" w:rsidRPr="00C62997">
        <w:rPr>
          <w:rFonts w:ascii="Times New Roman" w:hAnsi="Times New Roman" w:cs="Times New Roman"/>
          <w:b/>
          <w:bCs/>
          <w:i/>
          <w:iCs/>
          <w:sz w:val="24"/>
          <w:szCs w:val="24"/>
          <w:lang w:val="it-IT"/>
        </w:rPr>
        <w:t>:</w:t>
      </w:r>
      <w:r w:rsidRPr="00C62997">
        <w:rPr>
          <w:rFonts w:ascii="Times New Roman" w:hAnsi="Times New Roman" w:cs="Times New Roman"/>
          <w:b/>
          <w:bCs/>
          <w:sz w:val="24"/>
          <w:szCs w:val="24"/>
          <w:lang w:val="it-IT"/>
        </w:rPr>
        <w:t xml:space="preserve"> </w:t>
      </w:r>
      <w:r w:rsidRPr="00C62997">
        <w:rPr>
          <w:rFonts w:ascii="Times New Roman" w:hAnsi="Times New Roman" w:cs="Times New Roman"/>
          <w:sz w:val="24"/>
          <w:szCs w:val="24"/>
          <w:lang w:val="it-IT"/>
        </w:rPr>
        <w:t>Accogliamo con favore gli obblighi di visualizzazione neutrale previsti dalla proposta COM(2026)231 [COM(2026) 231 final.pdf]. Tuttavia, per evitare che gli algoritmi di classificazione favoriscano indirettamente gli operatori dominanti, chiediamo che la normativa preveda verifiche periodiche e indipendenti su tali algoritmi e obblighi di trasparenza comprensibili al consumatore sui principali parametri di classificazione.</w:t>
      </w:r>
    </w:p>
    <w:p w14:paraId="3449880D" w14:textId="77777777" w:rsidR="00C62997" w:rsidRDefault="00AE5E66" w:rsidP="00C62997">
      <w:pPr>
        <w:spacing w:line="276" w:lineRule="auto"/>
        <w:ind w:firstLine="709"/>
        <w:jc w:val="both"/>
        <w:rPr>
          <w:rFonts w:ascii="Times New Roman" w:hAnsi="Times New Roman" w:cs="Times New Roman"/>
          <w:sz w:val="24"/>
          <w:szCs w:val="24"/>
          <w:lang w:val="it-IT"/>
        </w:rPr>
      </w:pPr>
      <w:r w:rsidRPr="00C62997">
        <w:rPr>
          <w:rFonts w:ascii="Times New Roman" w:hAnsi="Times New Roman" w:cs="Times New Roman"/>
          <w:b/>
          <w:bCs/>
          <w:i/>
          <w:iCs/>
          <w:sz w:val="24"/>
          <w:szCs w:val="24"/>
          <w:lang w:val="it-IT"/>
        </w:rPr>
        <w:t>3.4. Semplificazione e uniformità delle procedure di reclamo</w:t>
      </w:r>
      <w:r w:rsidR="00C62997">
        <w:rPr>
          <w:rFonts w:ascii="Times New Roman" w:hAnsi="Times New Roman" w:cs="Times New Roman"/>
          <w:b/>
          <w:bCs/>
          <w:i/>
          <w:iCs/>
          <w:sz w:val="24"/>
          <w:szCs w:val="24"/>
          <w:lang w:val="it-IT"/>
        </w:rPr>
        <w:t>:</w:t>
      </w:r>
      <w:r w:rsidRPr="00AE5E66">
        <w:rPr>
          <w:rFonts w:ascii="Times New Roman" w:hAnsi="Times New Roman" w:cs="Times New Roman"/>
          <w:sz w:val="24"/>
          <w:szCs w:val="24"/>
          <w:lang w:val="it-IT"/>
        </w:rPr>
        <w:t xml:space="preserve"> Per superare l'attuale eterogeneità, proponiamo di integrare nel pacchetto la previsione di un modulo unico digitale europeo per la presentazione dei reclami, con tempi di risposta massimi uniformi per tutti gli operatori e un collegamento diretto con gli organismi di risoluzione alternativa delle controversie (ADR).</w:t>
      </w:r>
    </w:p>
    <w:p w14:paraId="4A1EB99B" w14:textId="77777777" w:rsidR="00C62997" w:rsidRDefault="00AE5E66" w:rsidP="00C62997">
      <w:pPr>
        <w:spacing w:line="276" w:lineRule="auto"/>
        <w:ind w:firstLine="709"/>
        <w:jc w:val="both"/>
        <w:rPr>
          <w:rFonts w:ascii="Times New Roman" w:hAnsi="Times New Roman" w:cs="Times New Roman"/>
          <w:sz w:val="24"/>
          <w:szCs w:val="24"/>
          <w:lang w:val="it-IT"/>
        </w:rPr>
      </w:pPr>
      <w:r w:rsidRPr="00C62997">
        <w:rPr>
          <w:rFonts w:ascii="Times New Roman" w:hAnsi="Times New Roman" w:cs="Times New Roman"/>
          <w:b/>
          <w:bCs/>
          <w:i/>
          <w:iCs/>
          <w:sz w:val="24"/>
          <w:szCs w:val="24"/>
          <w:lang w:val="it-IT"/>
        </w:rPr>
        <w:t>3.5. Tutela dei passeggeri con esigenze specifiche</w:t>
      </w:r>
      <w:r w:rsidR="00C62997">
        <w:rPr>
          <w:rFonts w:ascii="Times New Roman" w:hAnsi="Times New Roman" w:cs="Times New Roman"/>
          <w:b/>
          <w:bCs/>
          <w:i/>
          <w:iCs/>
          <w:sz w:val="24"/>
          <w:szCs w:val="24"/>
          <w:lang w:val="it-IT"/>
        </w:rPr>
        <w:t>:</w:t>
      </w:r>
      <w:r w:rsidRPr="00AE5E66">
        <w:rPr>
          <w:rFonts w:ascii="Times New Roman" w:hAnsi="Times New Roman" w:cs="Times New Roman"/>
          <w:sz w:val="24"/>
          <w:szCs w:val="24"/>
          <w:lang w:val="it-IT"/>
        </w:rPr>
        <w:t xml:space="preserve"> Chiediamo un rafforzamento esplicito delle garanzie per le persone con disabilità o a mobilità ridotta, gli anziani e i passeggeri vulnerabili, prevedendo per loro un diritto alla riprotezione prioritaria e all'assistenza immediata in caso di interruzione del viaggio, nonché informazioni fornite in formati accessibili.</w:t>
      </w:r>
    </w:p>
    <w:p w14:paraId="1CED3C32" w14:textId="77777777" w:rsidR="00C62997" w:rsidRDefault="00AE5E66" w:rsidP="00C62997">
      <w:pPr>
        <w:spacing w:line="276" w:lineRule="auto"/>
        <w:ind w:firstLine="709"/>
        <w:jc w:val="both"/>
        <w:rPr>
          <w:rFonts w:ascii="Times New Roman" w:hAnsi="Times New Roman" w:cs="Times New Roman"/>
          <w:sz w:val="24"/>
          <w:szCs w:val="24"/>
          <w:lang w:val="it-IT"/>
        </w:rPr>
      </w:pPr>
      <w:r w:rsidRPr="00C62997">
        <w:rPr>
          <w:rFonts w:ascii="Times New Roman" w:hAnsi="Times New Roman" w:cs="Times New Roman"/>
          <w:b/>
          <w:bCs/>
          <w:i/>
          <w:iCs/>
          <w:sz w:val="24"/>
          <w:szCs w:val="24"/>
          <w:lang w:val="it-IT"/>
        </w:rPr>
        <w:t>3.6. Sistema sanzionatorio e vigilanza</w:t>
      </w:r>
      <w:r w:rsidR="00C62997">
        <w:rPr>
          <w:rFonts w:ascii="Times New Roman" w:hAnsi="Times New Roman" w:cs="Times New Roman"/>
          <w:b/>
          <w:bCs/>
          <w:i/>
          <w:iCs/>
          <w:sz w:val="24"/>
          <w:szCs w:val="24"/>
          <w:lang w:val="it-IT"/>
        </w:rPr>
        <w:t>:</w:t>
      </w:r>
      <w:r w:rsidRPr="00AE5E66">
        <w:rPr>
          <w:rFonts w:ascii="Times New Roman" w:hAnsi="Times New Roman" w:cs="Times New Roman"/>
          <w:sz w:val="24"/>
          <w:szCs w:val="24"/>
          <w:lang w:val="it-IT"/>
        </w:rPr>
        <w:t xml:space="preserve"> L'efficacia del pacchetto dipende da un sistema di enforcement robusto. È necessario che gli Stati membri definiscano sanzioni effettive, proporzionate e dissuasive e che sia potenziata la cooperazione tra le autorità nazionali competenti per garantire un'applicazione armonizzata delle norme in tutta l'Unione</w:t>
      </w:r>
      <w:r w:rsidR="00C62997">
        <w:rPr>
          <w:rFonts w:ascii="Times New Roman" w:hAnsi="Times New Roman" w:cs="Times New Roman"/>
          <w:sz w:val="24"/>
          <w:szCs w:val="24"/>
          <w:lang w:val="it-IT"/>
        </w:rPr>
        <w:t>.</w:t>
      </w:r>
    </w:p>
    <w:p w14:paraId="10656D59" w14:textId="77777777" w:rsidR="00C62997" w:rsidRDefault="00AE5E66" w:rsidP="00C62997">
      <w:pPr>
        <w:spacing w:line="276" w:lineRule="auto"/>
        <w:ind w:firstLine="709"/>
        <w:jc w:val="both"/>
        <w:rPr>
          <w:rFonts w:ascii="Times New Roman" w:hAnsi="Times New Roman" w:cs="Times New Roman"/>
          <w:sz w:val="24"/>
          <w:szCs w:val="24"/>
          <w:lang w:val="it-IT"/>
        </w:rPr>
      </w:pPr>
      <w:r w:rsidRPr="00C62997">
        <w:rPr>
          <w:rFonts w:ascii="Times New Roman" w:hAnsi="Times New Roman" w:cs="Times New Roman"/>
          <w:b/>
          <w:bCs/>
          <w:sz w:val="24"/>
          <w:szCs w:val="24"/>
          <w:lang w:val="it-IT"/>
        </w:rPr>
        <w:t>4. Conclusioni e Raccomandazioni</w:t>
      </w:r>
      <w:r w:rsidRPr="00AE5E66">
        <w:rPr>
          <w:rFonts w:ascii="Times New Roman" w:hAnsi="Times New Roman" w:cs="Times New Roman"/>
          <w:sz w:val="24"/>
          <w:szCs w:val="24"/>
          <w:lang w:val="it-IT"/>
        </w:rPr>
        <w:t xml:space="preserve"> </w:t>
      </w:r>
    </w:p>
    <w:p w14:paraId="6112DDAA" w14:textId="542AFE2A" w:rsidR="00AE5E66" w:rsidRPr="00AE5E66" w:rsidRDefault="00AE5E66" w:rsidP="00C62997">
      <w:pPr>
        <w:spacing w:line="276" w:lineRule="auto"/>
        <w:ind w:firstLine="709"/>
        <w:jc w:val="both"/>
        <w:rPr>
          <w:rFonts w:ascii="Times New Roman" w:hAnsi="Times New Roman" w:cs="Times New Roman"/>
          <w:sz w:val="24"/>
          <w:szCs w:val="24"/>
          <w:lang w:val="it-IT"/>
        </w:rPr>
      </w:pPr>
      <w:proofErr w:type="spellStart"/>
      <w:r w:rsidRPr="00AE5E66">
        <w:rPr>
          <w:rFonts w:ascii="Times New Roman" w:hAnsi="Times New Roman" w:cs="Times New Roman"/>
          <w:sz w:val="24"/>
          <w:szCs w:val="24"/>
          <w:lang w:val="it-IT"/>
        </w:rPr>
        <w:t>Assoutenti</w:t>
      </w:r>
      <w:proofErr w:type="spellEnd"/>
      <w:r w:rsidRPr="00AE5E66">
        <w:rPr>
          <w:rFonts w:ascii="Times New Roman" w:hAnsi="Times New Roman" w:cs="Times New Roman"/>
          <w:sz w:val="24"/>
          <w:szCs w:val="24"/>
          <w:lang w:val="it-IT"/>
        </w:rPr>
        <w:t xml:space="preserve"> esprime un giudizio positivo sull'impianto generale del "Pacchetto passeggeri", ma ne raccomanda l'approvazione con le seguenti, mirate modifiche:</w:t>
      </w:r>
    </w:p>
    <w:p w14:paraId="2BCEB27A" w14:textId="4A4B3F2D" w:rsidR="00AE5E66" w:rsidRPr="00C62997" w:rsidRDefault="00AE5E66" w:rsidP="00C62997">
      <w:pPr>
        <w:pStyle w:val="Paragrafoelenco"/>
        <w:numPr>
          <w:ilvl w:val="0"/>
          <w:numId w:val="5"/>
        </w:numPr>
        <w:spacing w:line="276" w:lineRule="auto"/>
        <w:ind w:hanging="351"/>
        <w:rPr>
          <w:rFonts w:ascii="Times New Roman" w:hAnsi="Times New Roman" w:cs="Times New Roman"/>
          <w:sz w:val="24"/>
          <w:szCs w:val="24"/>
          <w:lang w:val="it-IT"/>
        </w:rPr>
      </w:pPr>
      <w:r w:rsidRPr="00C62997">
        <w:rPr>
          <w:rFonts w:ascii="Times New Roman" w:hAnsi="Times New Roman" w:cs="Times New Roman"/>
          <w:sz w:val="24"/>
          <w:szCs w:val="24"/>
          <w:lang w:val="it-IT"/>
        </w:rPr>
        <w:t>Introdurre il principio dello "sportello unico" o della responsabilità solidale per semplificare l'esercizio dei diritti da parte del passeggero.</w:t>
      </w:r>
    </w:p>
    <w:p w14:paraId="33A1C57E" w14:textId="2F205515" w:rsidR="00AE5E66" w:rsidRPr="00C62997" w:rsidRDefault="00AE5E66" w:rsidP="00C62997">
      <w:pPr>
        <w:pStyle w:val="Paragrafoelenco"/>
        <w:numPr>
          <w:ilvl w:val="0"/>
          <w:numId w:val="5"/>
        </w:numPr>
        <w:spacing w:line="276" w:lineRule="auto"/>
        <w:ind w:hanging="351"/>
        <w:rPr>
          <w:rFonts w:ascii="Times New Roman" w:hAnsi="Times New Roman" w:cs="Times New Roman"/>
          <w:sz w:val="24"/>
          <w:szCs w:val="24"/>
          <w:lang w:val="it-IT"/>
        </w:rPr>
      </w:pPr>
      <w:r w:rsidRPr="00C62997">
        <w:rPr>
          <w:rFonts w:ascii="Times New Roman" w:hAnsi="Times New Roman" w:cs="Times New Roman"/>
          <w:sz w:val="24"/>
          <w:szCs w:val="24"/>
          <w:lang w:val="it-IT"/>
        </w:rPr>
        <w:t>Rafforzare gli obblighi di trasparenza informativa precontrattuale sulle piattaforme digitali.</w:t>
      </w:r>
    </w:p>
    <w:p w14:paraId="60223E13" w14:textId="11BC9CBF" w:rsidR="00AE5E66" w:rsidRPr="00C62997" w:rsidRDefault="00AE5E66" w:rsidP="00C62997">
      <w:pPr>
        <w:pStyle w:val="Paragrafoelenco"/>
        <w:numPr>
          <w:ilvl w:val="0"/>
          <w:numId w:val="5"/>
        </w:numPr>
        <w:spacing w:line="276" w:lineRule="auto"/>
        <w:ind w:hanging="351"/>
        <w:rPr>
          <w:rFonts w:ascii="Times New Roman" w:hAnsi="Times New Roman" w:cs="Times New Roman"/>
          <w:sz w:val="24"/>
          <w:szCs w:val="24"/>
          <w:lang w:val="it-IT"/>
        </w:rPr>
      </w:pPr>
      <w:r w:rsidRPr="00C62997">
        <w:rPr>
          <w:rFonts w:ascii="Times New Roman" w:hAnsi="Times New Roman" w:cs="Times New Roman"/>
          <w:sz w:val="24"/>
          <w:szCs w:val="24"/>
          <w:lang w:val="it-IT"/>
        </w:rPr>
        <w:t>Prevedere procedure di reclamo uniformi e digitalizzate a livello europeo.</w:t>
      </w:r>
    </w:p>
    <w:p w14:paraId="1CB44DCC" w14:textId="63CD8DF4" w:rsidR="00AE5E66" w:rsidRPr="00C62997" w:rsidRDefault="00AE5E66" w:rsidP="00C62997">
      <w:pPr>
        <w:pStyle w:val="Paragrafoelenco"/>
        <w:numPr>
          <w:ilvl w:val="0"/>
          <w:numId w:val="5"/>
        </w:numPr>
        <w:spacing w:line="276" w:lineRule="auto"/>
        <w:ind w:hanging="351"/>
        <w:rPr>
          <w:rFonts w:ascii="Times New Roman" w:hAnsi="Times New Roman" w:cs="Times New Roman"/>
          <w:sz w:val="24"/>
          <w:szCs w:val="24"/>
          <w:lang w:val="it-IT"/>
        </w:rPr>
      </w:pPr>
      <w:r w:rsidRPr="00C62997">
        <w:rPr>
          <w:rFonts w:ascii="Times New Roman" w:hAnsi="Times New Roman" w:cs="Times New Roman"/>
          <w:sz w:val="24"/>
          <w:szCs w:val="24"/>
          <w:lang w:val="it-IT"/>
        </w:rPr>
        <w:t>Garantire un sistema di vigilanza e sanzioni efficace e coordinato.</w:t>
      </w:r>
    </w:p>
    <w:p w14:paraId="4C195E5B" w14:textId="374C7AB9" w:rsidR="00AE5E66" w:rsidRPr="00C62997" w:rsidRDefault="00AE5E66" w:rsidP="00C62997">
      <w:pPr>
        <w:pStyle w:val="Paragrafoelenco"/>
        <w:numPr>
          <w:ilvl w:val="0"/>
          <w:numId w:val="5"/>
        </w:numPr>
        <w:spacing w:line="276" w:lineRule="auto"/>
        <w:ind w:hanging="351"/>
        <w:rPr>
          <w:rFonts w:ascii="Times New Roman" w:hAnsi="Times New Roman" w:cs="Times New Roman"/>
          <w:sz w:val="24"/>
          <w:szCs w:val="24"/>
          <w:lang w:val="it-IT"/>
        </w:rPr>
      </w:pPr>
      <w:r w:rsidRPr="00C62997">
        <w:rPr>
          <w:rFonts w:ascii="Times New Roman" w:hAnsi="Times New Roman" w:cs="Times New Roman"/>
          <w:sz w:val="24"/>
          <w:szCs w:val="24"/>
          <w:lang w:val="it-IT"/>
        </w:rPr>
        <w:t>Potenziare le tutele per i passeggeri vulnerabili.</w:t>
      </w:r>
    </w:p>
    <w:p w14:paraId="6B012144" w14:textId="0D37B071" w:rsidR="007E6B0A" w:rsidRPr="00DA07F3" w:rsidRDefault="00AE5E66" w:rsidP="00C62997">
      <w:pPr>
        <w:spacing w:line="276" w:lineRule="auto"/>
        <w:jc w:val="both"/>
        <w:rPr>
          <w:rFonts w:ascii="Times New Roman" w:hAnsi="Times New Roman" w:cs="Times New Roman"/>
          <w:sz w:val="24"/>
          <w:szCs w:val="24"/>
          <w:lang w:val="it-IT"/>
        </w:rPr>
      </w:pPr>
      <w:r w:rsidRPr="00AE5E66">
        <w:rPr>
          <w:rFonts w:ascii="Times New Roman" w:hAnsi="Times New Roman" w:cs="Times New Roman"/>
          <w:sz w:val="24"/>
          <w:szCs w:val="24"/>
          <w:lang w:val="it-IT"/>
        </w:rPr>
        <w:t>Confidiamo che il Parlamento vorrà farsi carico di queste istanze per trasformare una buona proposta in un'eccellente normativa al servizio dei cittadini europei.</w:t>
      </w:r>
    </w:p>
    <w:sectPr w:rsidR="007E6B0A" w:rsidRPr="00DA07F3" w:rsidSect="002D2693">
      <w:pgSz w:w="11900" w:h="16840"/>
      <w:pgMar w:top="1417" w:right="1134" w:bottom="1134" w:left="1134"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ontserrat">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D2644"/>
    <w:multiLevelType w:val="hybridMultilevel"/>
    <w:tmpl w:val="B5ACFB3E"/>
    <w:lvl w:ilvl="0" w:tplc="3718FFBE">
      <w:start w:val="1"/>
      <w:numFmt w:val="decimal"/>
      <w:lvlText w:val="%1."/>
      <w:lvlJc w:val="left"/>
      <w:pPr>
        <w:ind w:left="1060" w:hanging="7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CF68C0"/>
    <w:multiLevelType w:val="hybridMultilevel"/>
    <w:tmpl w:val="BB789D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252230"/>
    <w:multiLevelType w:val="hybridMultilevel"/>
    <w:tmpl w:val="FFAE80CC"/>
    <w:lvl w:ilvl="0" w:tplc="A008E572">
      <w:numFmt w:val="bullet"/>
      <w:lvlText w:val="•"/>
      <w:lvlJc w:val="left"/>
      <w:pPr>
        <w:ind w:left="1060" w:hanging="70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B66DBA"/>
    <w:multiLevelType w:val="multilevel"/>
    <w:tmpl w:val="8D7C6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5A348A"/>
    <w:multiLevelType w:val="hybridMultilevel"/>
    <w:tmpl w:val="8AA07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80001192">
    <w:abstractNumId w:val="3"/>
  </w:num>
  <w:num w:numId="2" w16cid:durableId="845706703">
    <w:abstractNumId w:val="4"/>
  </w:num>
  <w:num w:numId="3" w16cid:durableId="1237519639">
    <w:abstractNumId w:val="2"/>
  </w:num>
  <w:num w:numId="4" w16cid:durableId="1470393795">
    <w:abstractNumId w:val="1"/>
  </w:num>
  <w:num w:numId="5" w16cid:durableId="2468099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F3"/>
    <w:rsid w:val="00004673"/>
    <w:rsid w:val="00007A24"/>
    <w:rsid w:val="00084735"/>
    <w:rsid w:val="000B6F4A"/>
    <w:rsid w:val="0011284D"/>
    <w:rsid w:val="0013345B"/>
    <w:rsid w:val="00165121"/>
    <w:rsid w:val="00184431"/>
    <w:rsid w:val="001D1111"/>
    <w:rsid w:val="00254013"/>
    <w:rsid w:val="00265954"/>
    <w:rsid w:val="002D2693"/>
    <w:rsid w:val="003A72E7"/>
    <w:rsid w:val="00411F50"/>
    <w:rsid w:val="004751B5"/>
    <w:rsid w:val="004B1FFB"/>
    <w:rsid w:val="005365CD"/>
    <w:rsid w:val="005B2D66"/>
    <w:rsid w:val="006136F9"/>
    <w:rsid w:val="00664754"/>
    <w:rsid w:val="007E6B0A"/>
    <w:rsid w:val="007F1B85"/>
    <w:rsid w:val="008840C3"/>
    <w:rsid w:val="00892A0F"/>
    <w:rsid w:val="00945C03"/>
    <w:rsid w:val="009A46F2"/>
    <w:rsid w:val="009B08F0"/>
    <w:rsid w:val="009D7551"/>
    <w:rsid w:val="00A427EF"/>
    <w:rsid w:val="00A83268"/>
    <w:rsid w:val="00AE2017"/>
    <w:rsid w:val="00AE5E66"/>
    <w:rsid w:val="00B050A3"/>
    <w:rsid w:val="00B5230C"/>
    <w:rsid w:val="00B63E39"/>
    <w:rsid w:val="00B85196"/>
    <w:rsid w:val="00B92515"/>
    <w:rsid w:val="00BB396C"/>
    <w:rsid w:val="00BD6335"/>
    <w:rsid w:val="00C62997"/>
    <w:rsid w:val="00D32CEE"/>
    <w:rsid w:val="00D90D18"/>
    <w:rsid w:val="00D961DA"/>
    <w:rsid w:val="00DA07F3"/>
    <w:rsid w:val="00E47DE4"/>
    <w:rsid w:val="00E535EC"/>
    <w:rsid w:val="00E6089F"/>
    <w:rsid w:val="00E93020"/>
    <w:rsid w:val="00EA65F8"/>
    <w:rsid w:val="00EE2E05"/>
    <w:rsid w:val="00F2465C"/>
    <w:rsid w:val="00FF119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0F7D2A"/>
  <w14:defaultImageDpi w14:val="32767"/>
  <w15:chartTrackingRefBased/>
  <w15:docId w15:val="{2AEE1FD9-E80C-984D-8B64-8488AF6D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HAnsi"/>
        <w:b/>
        <w:bCs/>
        <w:caps/>
        <w:color w:val="467886" w:themeColor="hyperlink"/>
        <w:sz w:val="22"/>
        <w:szCs w:val="26"/>
        <w:u w:val="single"/>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A07F3"/>
    <w:pPr>
      <w:spacing w:after="120" w:line="240" w:lineRule="atLeast"/>
    </w:pPr>
    <w:rPr>
      <w:rFonts w:ascii="Montserrat" w:eastAsiaTheme="minorHAnsi" w:cstheme="minorBidi"/>
      <w:b w:val="0"/>
      <w:bCs w:val="0"/>
      <w:caps w:val="0"/>
      <w:color w:val="auto"/>
      <w:sz w:val="20"/>
      <w:szCs w:val="20"/>
      <w:u w:val="none"/>
      <w:lang w:val="en-US" w:eastAsia="en-US"/>
    </w:rPr>
  </w:style>
  <w:style w:type="paragraph" w:styleId="Titolo1">
    <w:name w:val="heading 1"/>
    <w:basedOn w:val="Normale"/>
    <w:next w:val="Normale"/>
    <w:link w:val="Titolo1Carattere"/>
    <w:uiPriority w:val="9"/>
    <w:qFormat/>
    <w:rsid w:val="00DA07F3"/>
    <w:pPr>
      <w:spacing w:line="276" w:lineRule="auto"/>
      <w:jc w:val="both"/>
      <w:outlineLvl w:val="0"/>
    </w:pPr>
    <w:rPr>
      <w:rFonts w:ascii="Times New Roman" w:hAnsi="Times New Roman" w:cs="Times New Roman"/>
      <w:b/>
      <w:bCs/>
      <w:sz w:val="24"/>
      <w:szCs w:val="24"/>
      <w:lang w:val="it-IT"/>
    </w:rPr>
  </w:style>
  <w:style w:type="paragraph" w:styleId="Titolo2">
    <w:name w:val="heading 2"/>
    <w:basedOn w:val="Normale"/>
    <w:next w:val="Normale"/>
    <w:link w:val="Titolo2Carattere"/>
    <w:uiPriority w:val="9"/>
    <w:unhideWhenUsed/>
    <w:qFormat/>
    <w:rsid w:val="00DA0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07F3"/>
    <w:pPr>
      <w:keepNext/>
      <w:keepLines/>
      <w:spacing w:before="160" w:after="80"/>
      <w:outlineLvl w:val="2"/>
    </w:pPr>
    <w:rPr>
      <w:rFonts w:asciiTheme="minorHAnsi"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07F3"/>
    <w:pPr>
      <w:keepNext/>
      <w:keepLines/>
      <w:spacing w:before="80" w:after="40"/>
      <w:outlineLvl w:val="3"/>
    </w:pPr>
    <w:rPr>
      <w:rFonts w:asciiTheme="minorHAnsi"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07F3"/>
    <w:pPr>
      <w:keepNext/>
      <w:keepLines/>
      <w:spacing w:before="80" w:after="40"/>
      <w:outlineLvl w:val="4"/>
    </w:pPr>
    <w:rPr>
      <w:rFonts w:asciiTheme="minorHAnsi"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07F3"/>
    <w:pPr>
      <w:keepNext/>
      <w:keepLines/>
      <w:spacing w:before="40" w:after="0"/>
      <w:outlineLvl w:val="5"/>
    </w:pPr>
    <w:rPr>
      <w:rFonts w:asciiTheme="minorHAnsi"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07F3"/>
    <w:pPr>
      <w:keepNext/>
      <w:keepLines/>
      <w:spacing w:before="40" w:after="0"/>
      <w:outlineLvl w:val="6"/>
    </w:pPr>
    <w:rPr>
      <w:rFonts w:asciiTheme="minorHAnsi"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07F3"/>
    <w:pPr>
      <w:keepNext/>
      <w:keepLines/>
      <w:spacing w:after="0"/>
      <w:outlineLvl w:val="7"/>
    </w:pPr>
    <w:rPr>
      <w:rFonts w:asciiTheme="minorHAnsi"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07F3"/>
    <w:pPr>
      <w:keepNext/>
      <w:keepLines/>
      <w:spacing w:after="0"/>
      <w:outlineLvl w:val="8"/>
    </w:pPr>
    <w:rPr>
      <w:rFonts w:asciiTheme="minorHAnsi"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A83268"/>
    <w:pPr>
      <w:jc w:val="center"/>
    </w:pPr>
    <w:rPr>
      <w:rFonts w:eastAsiaTheme="minorEastAsia"/>
      <w:caps/>
      <w:color w:val="467886" w:themeColor="hyperlink"/>
      <w:u w:val="single"/>
      <w:lang w:eastAsia="zh-CN"/>
    </w:rPr>
  </w:style>
  <w:style w:type="character" w:customStyle="1" w:styleId="TitoloCarattere">
    <w:name w:val="Titolo Carattere"/>
    <w:basedOn w:val="Carpredefinitoparagrafo"/>
    <w:link w:val="Titolo"/>
    <w:uiPriority w:val="10"/>
    <w:rsid w:val="00A83268"/>
    <w:rPr>
      <w:rFonts w:ascii="Times New Roman" w:hAnsi="Times New Roman" w:cs="Times New Roman"/>
      <w:b w:val="0"/>
      <w:bCs w:val="0"/>
      <w:sz w:val="24"/>
      <w:szCs w:val="24"/>
    </w:rPr>
  </w:style>
  <w:style w:type="character" w:customStyle="1" w:styleId="Titolo1Carattere">
    <w:name w:val="Titolo 1 Carattere"/>
    <w:basedOn w:val="Carpredefinitoparagrafo"/>
    <w:link w:val="Titolo1"/>
    <w:uiPriority w:val="9"/>
    <w:rsid w:val="00DA07F3"/>
    <w:rPr>
      <w:rFonts w:ascii="Times New Roman" w:eastAsiaTheme="minorHAnsi" w:hAnsi="Times New Roman" w:cs="Times New Roman"/>
      <w:caps w:val="0"/>
      <w:color w:val="auto"/>
      <w:sz w:val="24"/>
      <w:szCs w:val="24"/>
      <w:u w:val="none"/>
      <w:lang w:eastAsia="en-US"/>
    </w:rPr>
  </w:style>
  <w:style w:type="character" w:customStyle="1" w:styleId="Titolo2Carattere">
    <w:name w:val="Titolo 2 Carattere"/>
    <w:basedOn w:val="Carpredefinitoparagrafo"/>
    <w:link w:val="Titolo2"/>
    <w:uiPriority w:val="9"/>
    <w:semiHidden/>
    <w:rsid w:val="00DA07F3"/>
    <w:rPr>
      <w:rFonts w:asciiTheme="majorHAnsi" w:eastAsiaTheme="majorEastAsia" w:hAnsiTheme="majorHAnsi" w:cstheme="majorBidi"/>
      <w:b w:val="0"/>
      <w:bCs w:val="0"/>
      <w:caps w:val="0"/>
      <w:color w:val="0F4761" w:themeColor="accent1" w:themeShade="BF"/>
      <w:sz w:val="32"/>
      <w:szCs w:val="32"/>
      <w:u w:val="none"/>
      <w:lang w:eastAsia="en-US"/>
    </w:rPr>
  </w:style>
  <w:style w:type="character" w:customStyle="1" w:styleId="Titolo3Carattere">
    <w:name w:val="Titolo 3 Carattere"/>
    <w:basedOn w:val="Carpredefinitoparagrafo"/>
    <w:link w:val="Titolo3"/>
    <w:uiPriority w:val="9"/>
    <w:semiHidden/>
    <w:rsid w:val="00DA07F3"/>
    <w:rPr>
      <w:rFonts w:eastAsiaTheme="majorEastAsia" w:cstheme="majorBidi"/>
      <w:b w:val="0"/>
      <w:bCs w:val="0"/>
      <w:caps w:val="0"/>
      <w:color w:val="0F4761" w:themeColor="accent1" w:themeShade="BF"/>
      <w:sz w:val="28"/>
      <w:szCs w:val="28"/>
      <w:u w:val="none"/>
      <w:lang w:eastAsia="en-US"/>
    </w:rPr>
  </w:style>
  <w:style w:type="character" w:customStyle="1" w:styleId="Titolo4Carattere">
    <w:name w:val="Titolo 4 Carattere"/>
    <w:basedOn w:val="Carpredefinitoparagrafo"/>
    <w:link w:val="Titolo4"/>
    <w:uiPriority w:val="9"/>
    <w:semiHidden/>
    <w:rsid w:val="00DA07F3"/>
    <w:rPr>
      <w:rFonts w:eastAsiaTheme="majorEastAsia" w:cstheme="majorBidi"/>
      <w:b w:val="0"/>
      <w:bCs w:val="0"/>
      <w:i/>
      <w:iCs/>
      <w:caps w:val="0"/>
      <w:color w:val="0F4761" w:themeColor="accent1" w:themeShade="BF"/>
      <w:sz w:val="24"/>
      <w:szCs w:val="24"/>
      <w:u w:val="none"/>
      <w:lang w:eastAsia="en-US"/>
    </w:rPr>
  </w:style>
  <w:style w:type="character" w:customStyle="1" w:styleId="Titolo5Carattere">
    <w:name w:val="Titolo 5 Carattere"/>
    <w:basedOn w:val="Carpredefinitoparagrafo"/>
    <w:link w:val="Titolo5"/>
    <w:uiPriority w:val="9"/>
    <w:semiHidden/>
    <w:rsid w:val="00DA07F3"/>
    <w:rPr>
      <w:rFonts w:eastAsiaTheme="majorEastAsia" w:cstheme="majorBidi"/>
      <w:b w:val="0"/>
      <w:bCs w:val="0"/>
      <w:caps w:val="0"/>
      <w:color w:val="0F4761" w:themeColor="accent1" w:themeShade="BF"/>
      <w:sz w:val="24"/>
      <w:szCs w:val="24"/>
      <w:u w:val="none"/>
      <w:lang w:eastAsia="en-US"/>
    </w:rPr>
  </w:style>
  <w:style w:type="character" w:customStyle="1" w:styleId="Titolo6Carattere">
    <w:name w:val="Titolo 6 Carattere"/>
    <w:basedOn w:val="Carpredefinitoparagrafo"/>
    <w:link w:val="Titolo6"/>
    <w:uiPriority w:val="9"/>
    <w:semiHidden/>
    <w:rsid w:val="00DA07F3"/>
    <w:rPr>
      <w:rFonts w:eastAsiaTheme="majorEastAsia" w:cstheme="majorBidi"/>
      <w:b w:val="0"/>
      <w:bCs w:val="0"/>
      <w:i/>
      <w:iCs/>
      <w:caps w:val="0"/>
      <w:color w:val="595959" w:themeColor="text1" w:themeTint="A6"/>
      <w:sz w:val="24"/>
      <w:szCs w:val="24"/>
      <w:u w:val="none"/>
      <w:lang w:eastAsia="en-US"/>
    </w:rPr>
  </w:style>
  <w:style w:type="character" w:customStyle="1" w:styleId="Titolo7Carattere">
    <w:name w:val="Titolo 7 Carattere"/>
    <w:basedOn w:val="Carpredefinitoparagrafo"/>
    <w:link w:val="Titolo7"/>
    <w:uiPriority w:val="9"/>
    <w:semiHidden/>
    <w:rsid w:val="00DA07F3"/>
    <w:rPr>
      <w:rFonts w:eastAsiaTheme="majorEastAsia" w:cstheme="majorBidi"/>
      <w:b w:val="0"/>
      <w:bCs w:val="0"/>
      <w:caps w:val="0"/>
      <w:color w:val="595959" w:themeColor="text1" w:themeTint="A6"/>
      <w:sz w:val="24"/>
      <w:szCs w:val="24"/>
      <w:u w:val="none"/>
      <w:lang w:eastAsia="en-US"/>
    </w:rPr>
  </w:style>
  <w:style w:type="character" w:customStyle="1" w:styleId="Titolo8Carattere">
    <w:name w:val="Titolo 8 Carattere"/>
    <w:basedOn w:val="Carpredefinitoparagrafo"/>
    <w:link w:val="Titolo8"/>
    <w:uiPriority w:val="9"/>
    <w:semiHidden/>
    <w:rsid w:val="00DA07F3"/>
    <w:rPr>
      <w:rFonts w:eastAsiaTheme="majorEastAsia" w:cstheme="majorBidi"/>
      <w:b w:val="0"/>
      <w:bCs w:val="0"/>
      <w:i/>
      <w:iCs/>
      <w:caps w:val="0"/>
      <w:color w:val="272727" w:themeColor="text1" w:themeTint="D8"/>
      <w:sz w:val="24"/>
      <w:szCs w:val="24"/>
      <w:u w:val="none"/>
      <w:lang w:eastAsia="en-US"/>
    </w:rPr>
  </w:style>
  <w:style w:type="character" w:customStyle="1" w:styleId="Titolo9Carattere">
    <w:name w:val="Titolo 9 Carattere"/>
    <w:basedOn w:val="Carpredefinitoparagrafo"/>
    <w:link w:val="Titolo9"/>
    <w:uiPriority w:val="9"/>
    <w:semiHidden/>
    <w:rsid w:val="00DA07F3"/>
    <w:rPr>
      <w:rFonts w:eastAsiaTheme="majorEastAsia" w:cstheme="majorBidi"/>
      <w:b w:val="0"/>
      <w:bCs w:val="0"/>
      <w:caps w:val="0"/>
      <w:color w:val="272727" w:themeColor="text1" w:themeTint="D8"/>
      <w:sz w:val="24"/>
      <w:szCs w:val="24"/>
      <w:u w:val="none"/>
      <w:lang w:eastAsia="en-US"/>
    </w:rPr>
  </w:style>
  <w:style w:type="paragraph" w:styleId="Sottotitolo">
    <w:name w:val="Subtitle"/>
    <w:basedOn w:val="Normale"/>
    <w:next w:val="Normale"/>
    <w:link w:val="SottotitoloCarattere"/>
    <w:uiPriority w:val="11"/>
    <w:qFormat/>
    <w:rsid w:val="00DA07F3"/>
    <w:pPr>
      <w:numPr>
        <w:ilvl w:val="1"/>
      </w:numPr>
      <w:spacing w:after="160"/>
      <w:ind w:firstLine="567"/>
    </w:pPr>
    <w:rPr>
      <w:rFonts w:asciiTheme="minorHAnsi"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07F3"/>
    <w:rPr>
      <w:rFonts w:eastAsiaTheme="majorEastAsia" w:cstheme="majorBidi"/>
      <w:b w:val="0"/>
      <w:bCs w:val="0"/>
      <w:caps w:val="0"/>
      <w:color w:val="595959" w:themeColor="text1" w:themeTint="A6"/>
      <w:spacing w:val="15"/>
      <w:sz w:val="28"/>
      <w:szCs w:val="28"/>
      <w:u w:val="none"/>
      <w:lang w:eastAsia="en-US"/>
    </w:rPr>
  </w:style>
  <w:style w:type="paragraph" w:styleId="Citazione">
    <w:name w:val="Quote"/>
    <w:basedOn w:val="Normale"/>
    <w:next w:val="Normale"/>
    <w:link w:val="CitazioneCarattere"/>
    <w:uiPriority w:val="29"/>
    <w:qFormat/>
    <w:rsid w:val="00DA07F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07F3"/>
    <w:rPr>
      <w:rFonts w:ascii="Times New Roman" w:eastAsiaTheme="minorHAnsi" w:hAnsi="Times New Roman" w:cs="Times New Roman"/>
      <w:b w:val="0"/>
      <w:bCs w:val="0"/>
      <w:i/>
      <w:iCs/>
      <w:caps w:val="0"/>
      <w:color w:val="404040" w:themeColor="text1" w:themeTint="BF"/>
      <w:sz w:val="24"/>
      <w:szCs w:val="24"/>
      <w:u w:val="none"/>
      <w:lang w:eastAsia="en-US"/>
    </w:rPr>
  </w:style>
  <w:style w:type="paragraph" w:styleId="Paragrafoelenco">
    <w:name w:val="List Paragraph"/>
    <w:basedOn w:val="Normale"/>
    <w:uiPriority w:val="34"/>
    <w:qFormat/>
    <w:rsid w:val="00DA07F3"/>
    <w:pPr>
      <w:ind w:left="720"/>
    </w:pPr>
  </w:style>
  <w:style w:type="character" w:styleId="Enfasiintensa">
    <w:name w:val="Intense Emphasis"/>
    <w:basedOn w:val="Carpredefinitoparagrafo"/>
    <w:uiPriority w:val="21"/>
    <w:qFormat/>
    <w:rsid w:val="00DA07F3"/>
    <w:rPr>
      <w:i/>
      <w:iCs/>
      <w:color w:val="0F4761" w:themeColor="accent1" w:themeShade="BF"/>
    </w:rPr>
  </w:style>
  <w:style w:type="paragraph" w:styleId="Citazioneintensa">
    <w:name w:val="Intense Quote"/>
    <w:basedOn w:val="Normale"/>
    <w:next w:val="Normale"/>
    <w:link w:val="CitazioneintensaCarattere"/>
    <w:uiPriority w:val="30"/>
    <w:qFormat/>
    <w:rsid w:val="00DA0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07F3"/>
    <w:rPr>
      <w:rFonts w:ascii="Times New Roman" w:eastAsiaTheme="minorHAnsi" w:hAnsi="Times New Roman" w:cs="Times New Roman"/>
      <w:b w:val="0"/>
      <w:bCs w:val="0"/>
      <w:i/>
      <w:iCs/>
      <w:caps w:val="0"/>
      <w:color w:val="0F4761" w:themeColor="accent1" w:themeShade="BF"/>
      <w:sz w:val="24"/>
      <w:szCs w:val="24"/>
      <w:u w:val="none"/>
      <w:lang w:eastAsia="en-US"/>
    </w:rPr>
  </w:style>
  <w:style w:type="character" w:styleId="Riferimentointenso">
    <w:name w:val="Intense Reference"/>
    <w:basedOn w:val="Carpredefinitoparagrafo"/>
    <w:uiPriority w:val="32"/>
    <w:qFormat/>
    <w:rsid w:val="00DA07F3"/>
    <w:rPr>
      <w:b w:val="0"/>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881</Words>
  <Characters>5024</Characters>
  <Application>Microsoft Office Word</Application>
  <DocSecurity>0</DocSecurity>
  <Lines>41</Lines>
  <Paragraphs>11</Paragraphs>
  <ScaleCrop>false</ScaleCrop>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 MAFFEO</dc:creator>
  <cp:keywords/>
  <dc:description/>
  <cp:lastModifiedBy>ADRIANO MAFFEO</cp:lastModifiedBy>
  <cp:revision>3</cp:revision>
  <dcterms:created xsi:type="dcterms:W3CDTF">2026-07-08T09:24:00Z</dcterms:created>
  <dcterms:modified xsi:type="dcterms:W3CDTF">2026-07-08T09:31:00Z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2026-07-08T09:18:13Z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5f2db449-e644-4a2c-9bca-35ef49a28cca</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