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8A" w:rsidRDefault="0056628A" w:rsidP="00D37331">
      <w:pPr>
        <w:spacing w:after="0" w:line="480" w:lineRule="auto"/>
        <w:rPr>
          <w:rFonts w:ascii="Baskerville Old Face" w:hAnsi="Baskerville Old Face" w:cs="Times New Roman"/>
          <w:sz w:val="24"/>
          <w:szCs w:val="24"/>
        </w:rPr>
      </w:pPr>
      <w:bookmarkStart w:id="0" w:name="_GoBack"/>
      <w:bookmarkEnd w:id="0"/>
    </w:p>
    <w:p w:rsidR="00FC15B4" w:rsidRPr="00FC15B4" w:rsidRDefault="00FC15B4" w:rsidP="0056628A">
      <w:pPr>
        <w:spacing w:after="0" w:line="480" w:lineRule="auto"/>
        <w:jc w:val="center"/>
        <w:rPr>
          <w:rFonts w:ascii="Baskerville Old Face" w:hAnsi="Baskerville Old Face" w:cs="Times New Roman"/>
          <w:sz w:val="24"/>
          <w:szCs w:val="24"/>
        </w:rPr>
      </w:pPr>
      <w:r w:rsidRPr="00FC15B4">
        <w:rPr>
          <w:rFonts w:ascii="Baskerville Old Face" w:hAnsi="Baskerville Old Face" w:cs="Times New Roman"/>
          <w:sz w:val="24"/>
          <w:szCs w:val="24"/>
        </w:rPr>
        <w:t xml:space="preserve">XIV Commissione Politiche UE - Camera dei Deputati </w:t>
      </w:r>
    </w:p>
    <w:p w:rsidR="00FC15B4" w:rsidRPr="00FC15B4" w:rsidRDefault="00FC15B4" w:rsidP="0056628A">
      <w:pPr>
        <w:spacing w:after="0" w:line="480" w:lineRule="auto"/>
        <w:jc w:val="center"/>
        <w:rPr>
          <w:rFonts w:ascii="Baskerville Old Face" w:hAnsi="Baskerville Old Face" w:cs="Times New Roman"/>
          <w:sz w:val="24"/>
          <w:szCs w:val="24"/>
        </w:rPr>
      </w:pPr>
      <w:r>
        <w:rPr>
          <w:rFonts w:ascii="Baskerville Old Face" w:hAnsi="Baskerville Old Face" w:cs="Times New Roman"/>
          <w:sz w:val="24"/>
          <w:szCs w:val="24"/>
        </w:rPr>
        <w:t>Comunicazione della Commissione al Parlamento europeo, al Consiglio, al Comitato Economico e Sociale europeo e al Comitato delle Regioni – COM (2022) 518 final</w:t>
      </w:r>
    </w:p>
    <w:p w:rsidR="00D33578" w:rsidRDefault="00FC15B4" w:rsidP="0056628A">
      <w:pPr>
        <w:spacing w:after="0" w:line="480" w:lineRule="auto"/>
        <w:jc w:val="center"/>
        <w:rPr>
          <w:rFonts w:ascii="Baskerville Old Face" w:hAnsi="Baskerville Old Face" w:cs="Times New Roman"/>
          <w:b/>
          <w:sz w:val="24"/>
          <w:szCs w:val="24"/>
        </w:rPr>
      </w:pPr>
      <w:r w:rsidRPr="00FC15B4">
        <w:rPr>
          <w:rFonts w:ascii="Baskerville Old Face" w:hAnsi="Baskerville Old Face" w:cs="Times New Roman"/>
          <w:b/>
          <w:sz w:val="24"/>
          <w:szCs w:val="24"/>
        </w:rPr>
        <w:t xml:space="preserve">Audizione del Segretario Generale dell’Autorità Garante della Concorrenza e del Mercato </w:t>
      </w:r>
      <w:r w:rsidR="00D33578">
        <w:rPr>
          <w:rFonts w:ascii="Baskerville Old Face" w:hAnsi="Baskerville Old Face" w:cs="Times New Roman"/>
          <w:b/>
          <w:sz w:val="24"/>
          <w:szCs w:val="24"/>
        </w:rPr>
        <w:t>–</w:t>
      </w:r>
      <w:r w:rsidR="003C7452">
        <w:rPr>
          <w:rFonts w:ascii="Baskerville Old Face" w:hAnsi="Baskerville Old Face" w:cs="Times New Roman"/>
          <w:b/>
          <w:sz w:val="24"/>
          <w:szCs w:val="24"/>
        </w:rPr>
        <w:t xml:space="preserve"> </w:t>
      </w:r>
    </w:p>
    <w:p w:rsidR="00FC15B4" w:rsidRPr="00FC15B4" w:rsidRDefault="00FC15B4" w:rsidP="0056628A">
      <w:pPr>
        <w:spacing w:after="0" w:line="480" w:lineRule="auto"/>
        <w:jc w:val="center"/>
        <w:rPr>
          <w:rFonts w:ascii="Baskerville Old Face" w:hAnsi="Baskerville Old Face" w:cs="Times New Roman"/>
          <w:b/>
          <w:sz w:val="24"/>
          <w:szCs w:val="24"/>
        </w:rPr>
      </w:pPr>
      <w:r w:rsidRPr="00FC15B4">
        <w:rPr>
          <w:rFonts w:ascii="Baskerville Old Face" w:hAnsi="Baskerville Old Face" w:cs="Times New Roman"/>
          <w:b/>
          <w:sz w:val="24"/>
          <w:szCs w:val="24"/>
        </w:rPr>
        <w:t>G</w:t>
      </w:r>
      <w:r w:rsidR="00D33578">
        <w:rPr>
          <w:rFonts w:ascii="Baskerville Old Face" w:hAnsi="Baskerville Old Face" w:cs="Times New Roman"/>
          <w:b/>
          <w:sz w:val="24"/>
          <w:szCs w:val="24"/>
        </w:rPr>
        <w:t>uido</w:t>
      </w:r>
      <w:r w:rsidRPr="00FC15B4">
        <w:rPr>
          <w:rFonts w:ascii="Baskerville Old Face" w:hAnsi="Baskerville Old Face" w:cs="Times New Roman"/>
          <w:b/>
          <w:sz w:val="24"/>
          <w:szCs w:val="24"/>
        </w:rPr>
        <w:t xml:space="preserve"> Stazi </w:t>
      </w:r>
    </w:p>
    <w:p w:rsidR="00FC15B4" w:rsidRPr="00FC15B4" w:rsidRDefault="00FC15B4" w:rsidP="0056628A">
      <w:pPr>
        <w:spacing w:after="0" w:line="480" w:lineRule="auto"/>
        <w:jc w:val="center"/>
        <w:rPr>
          <w:rFonts w:ascii="Baskerville Old Face" w:hAnsi="Baskerville Old Face" w:cs="Times New Roman"/>
          <w:sz w:val="20"/>
          <w:szCs w:val="20"/>
        </w:rPr>
      </w:pPr>
      <w:r w:rsidRPr="00FC15B4">
        <w:rPr>
          <w:rFonts w:ascii="Baskerville Old Face" w:hAnsi="Baskerville Old Face" w:cs="Times New Roman"/>
          <w:sz w:val="20"/>
          <w:szCs w:val="20"/>
        </w:rPr>
        <w:t>21 dicembre 2022</w:t>
      </w:r>
    </w:p>
    <w:p w:rsidR="0056628A" w:rsidRPr="00FC15B4" w:rsidRDefault="0056628A" w:rsidP="0056628A">
      <w:pPr>
        <w:spacing w:after="0" w:line="480" w:lineRule="auto"/>
        <w:jc w:val="both"/>
        <w:rPr>
          <w:rFonts w:ascii="Baskerville Old Face" w:hAnsi="Baskerville Old Face" w:cs="Times New Roman"/>
          <w:sz w:val="24"/>
          <w:szCs w:val="24"/>
        </w:rPr>
      </w:pPr>
    </w:p>
    <w:p w:rsidR="00FC15B4" w:rsidRPr="00C901C3" w:rsidRDefault="00096355" w:rsidP="0056628A">
      <w:pPr>
        <w:spacing w:after="0" w:line="480" w:lineRule="auto"/>
        <w:ind w:firstLine="708"/>
        <w:jc w:val="both"/>
        <w:rPr>
          <w:rFonts w:ascii="Baskerville Old Face" w:hAnsi="Baskerville Old Face" w:cs="Times New Roman"/>
          <w:sz w:val="24"/>
          <w:szCs w:val="24"/>
        </w:rPr>
      </w:pPr>
      <w:r>
        <w:rPr>
          <w:rFonts w:ascii="Baskerville Old Face" w:hAnsi="Baskerville Old Face" w:cs="Times New Roman"/>
          <w:sz w:val="24"/>
          <w:szCs w:val="24"/>
        </w:rPr>
        <w:t xml:space="preserve">Signor </w:t>
      </w:r>
      <w:r w:rsidR="00FC15B4" w:rsidRPr="00C901C3">
        <w:rPr>
          <w:rFonts w:ascii="Baskerville Old Face" w:hAnsi="Baskerville Old Face" w:cs="Times New Roman"/>
          <w:sz w:val="24"/>
          <w:szCs w:val="24"/>
        </w:rPr>
        <w:t>Presidente,</w:t>
      </w:r>
      <w:r w:rsidR="00E51293">
        <w:rPr>
          <w:rFonts w:ascii="Baskerville Old Face" w:hAnsi="Baskerville Old Face" w:cs="Times New Roman"/>
          <w:sz w:val="24"/>
          <w:szCs w:val="24"/>
        </w:rPr>
        <w:t xml:space="preserve"> Onorevoli Componenti,</w:t>
      </w:r>
    </w:p>
    <w:p w:rsidR="0056628A" w:rsidRPr="00C901C3" w:rsidRDefault="0056628A" w:rsidP="0056628A">
      <w:pPr>
        <w:spacing w:after="0" w:line="480" w:lineRule="auto"/>
        <w:ind w:firstLine="708"/>
        <w:jc w:val="both"/>
        <w:rPr>
          <w:rFonts w:ascii="Baskerville Old Face" w:hAnsi="Baskerville Old Face" w:cs="Times New Roman"/>
          <w:sz w:val="24"/>
          <w:szCs w:val="24"/>
        </w:rPr>
      </w:pPr>
    </w:p>
    <w:p w:rsidR="0056628A" w:rsidRPr="00C901C3" w:rsidRDefault="00FC15B4" w:rsidP="000C7F18">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ringrazio la Commissione Politiche dell’Unione Europea per l’invito a partecipare all’audizione in oggetto e per l’attenzione rivolta all’Autorità</w:t>
      </w:r>
      <w:r w:rsidR="00E51293">
        <w:rPr>
          <w:rFonts w:ascii="Baskerville Old Face" w:hAnsi="Baskerville Old Face" w:cs="Times New Roman"/>
          <w:sz w:val="24"/>
          <w:szCs w:val="24"/>
        </w:rPr>
        <w:t xml:space="preserve"> e al nostro contributo su</w:t>
      </w:r>
      <w:r w:rsidR="007412CA">
        <w:rPr>
          <w:rFonts w:ascii="Baskerville Old Face" w:hAnsi="Baskerville Old Face" w:cs="Times New Roman"/>
          <w:sz w:val="24"/>
          <w:szCs w:val="24"/>
        </w:rPr>
        <w:t xml:space="preserve">l </w:t>
      </w:r>
      <w:r w:rsidR="00E51293">
        <w:rPr>
          <w:rFonts w:ascii="Baskerville Old Face" w:hAnsi="Baskerville Old Face" w:cs="Times New Roman"/>
          <w:sz w:val="24"/>
          <w:szCs w:val="24"/>
        </w:rPr>
        <w:t>tema, davvero</w:t>
      </w:r>
      <w:r w:rsidR="00D33578" w:rsidRPr="00C901C3">
        <w:rPr>
          <w:rFonts w:ascii="Baskerville Old Face" w:hAnsi="Baskerville Old Face" w:cs="Times New Roman"/>
          <w:sz w:val="24"/>
          <w:szCs w:val="24"/>
        </w:rPr>
        <w:t xml:space="preserve"> molto rilevante</w:t>
      </w:r>
      <w:r w:rsidRPr="00C901C3">
        <w:rPr>
          <w:rFonts w:ascii="Baskerville Old Face" w:hAnsi="Baskerville Old Face" w:cs="Times New Roman"/>
          <w:sz w:val="24"/>
          <w:szCs w:val="24"/>
        </w:rPr>
        <w:t xml:space="preserve"> per il Paese</w:t>
      </w:r>
      <w:r w:rsidR="00E51293">
        <w:rPr>
          <w:rFonts w:ascii="Baskerville Old Face" w:hAnsi="Baskerville Old Face" w:cs="Times New Roman"/>
          <w:sz w:val="24"/>
          <w:szCs w:val="24"/>
        </w:rPr>
        <w:t>,</w:t>
      </w:r>
      <w:r w:rsidR="00096355">
        <w:rPr>
          <w:rFonts w:ascii="Baskerville Old Face" w:hAnsi="Baskerville Old Face" w:cs="Times New Roman"/>
          <w:sz w:val="24"/>
          <w:szCs w:val="24"/>
        </w:rPr>
        <w:t xml:space="preserve"> </w:t>
      </w:r>
      <w:r w:rsidR="00E51293">
        <w:rPr>
          <w:rFonts w:ascii="Baskerville Old Face" w:hAnsi="Baskerville Old Face" w:cs="Times New Roman"/>
          <w:sz w:val="24"/>
          <w:szCs w:val="24"/>
        </w:rPr>
        <w:t>della</w:t>
      </w:r>
      <w:r w:rsidR="00096355">
        <w:rPr>
          <w:rFonts w:ascii="Baskerville Old Face" w:hAnsi="Baskerville Old Face" w:cs="Times New Roman"/>
          <w:sz w:val="24"/>
          <w:szCs w:val="24"/>
        </w:rPr>
        <w:t xml:space="preserve"> corretta applicazione del diritto dell’Unione Europea.</w:t>
      </w:r>
      <w:r w:rsidRPr="00C901C3">
        <w:rPr>
          <w:rFonts w:ascii="Baskerville Old Face" w:hAnsi="Baskerville Old Face" w:cs="Times New Roman"/>
          <w:sz w:val="24"/>
          <w:szCs w:val="24"/>
        </w:rPr>
        <w:t xml:space="preserve"> </w:t>
      </w:r>
    </w:p>
    <w:p w:rsidR="0056628A" w:rsidRPr="00C901C3" w:rsidRDefault="00D94311" w:rsidP="0056628A">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Come noto,</w:t>
      </w:r>
      <w:r w:rsidR="00FC15B4" w:rsidRPr="00C901C3">
        <w:rPr>
          <w:rFonts w:ascii="Baskerville Old Face" w:hAnsi="Baskerville Old Face" w:cs="Times New Roman"/>
          <w:sz w:val="24"/>
          <w:szCs w:val="24"/>
        </w:rPr>
        <w:t xml:space="preserve"> la concorrenza e il mercato comune rappresentano storicamente il cuore dell’attività legislativa dell’Unione europea e molte delle procedure di infrazione</w:t>
      </w:r>
      <w:r w:rsidR="00E51293">
        <w:rPr>
          <w:rFonts w:ascii="Baskerville Old Face" w:hAnsi="Baskerville Old Face" w:cs="Times New Roman"/>
          <w:sz w:val="24"/>
          <w:szCs w:val="24"/>
        </w:rPr>
        <w:t>,</w:t>
      </w:r>
      <w:r w:rsidR="00FC15B4" w:rsidRPr="00C901C3">
        <w:rPr>
          <w:rFonts w:ascii="Baskerville Old Face" w:hAnsi="Baskerville Old Face" w:cs="Times New Roman"/>
          <w:sz w:val="24"/>
          <w:szCs w:val="24"/>
        </w:rPr>
        <w:t xml:space="preserve"> </w:t>
      </w:r>
      <w:r w:rsidR="00E51293">
        <w:rPr>
          <w:rFonts w:ascii="Baskerville Old Face" w:hAnsi="Baskerville Old Face" w:cs="Times New Roman"/>
          <w:sz w:val="24"/>
          <w:szCs w:val="24"/>
        </w:rPr>
        <w:t xml:space="preserve">tra cui quelle </w:t>
      </w:r>
      <w:r w:rsidR="00FC15B4" w:rsidRPr="00C901C3">
        <w:rPr>
          <w:rFonts w:ascii="Baskerville Old Face" w:hAnsi="Baskerville Old Face" w:cs="Times New Roman"/>
          <w:sz w:val="24"/>
          <w:szCs w:val="24"/>
        </w:rPr>
        <w:t>a carico dell’Italia</w:t>
      </w:r>
      <w:r w:rsidR="00E51293">
        <w:rPr>
          <w:rFonts w:ascii="Baskerville Old Face" w:hAnsi="Baskerville Old Face" w:cs="Times New Roman"/>
          <w:sz w:val="24"/>
          <w:szCs w:val="24"/>
        </w:rPr>
        <w:t>,</w:t>
      </w:r>
      <w:r w:rsidR="00FC15B4" w:rsidRPr="00C901C3">
        <w:rPr>
          <w:rFonts w:ascii="Baskerville Old Face" w:hAnsi="Baskerville Old Face" w:cs="Times New Roman"/>
          <w:sz w:val="24"/>
          <w:szCs w:val="24"/>
        </w:rPr>
        <w:t xml:space="preserve"> nascono dal contrasto della disciplina nazionale delle attività economiche con i principi comunitari.</w:t>
      </w:r>
    </w:p>
    <w:p w:rsidR="0056628A" w:rsidRPr="00C901C3" w:rsidRDefault="00FC15B4" w:rsidP="0056628A">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 xml:space="preserve">L’Autorità accoglie, dunque, sempre con favore questo tipo di iniziative che servono a far luce sulle concrete modalità di recepimento del diritto dell’Unione europea nel nostro ordinamento. </w:t>
      </w:r>
      <w:r w:rsidR="00D94311" w:rsidRPr="00C901C3">
        <w:rPr>
          <w:rFonts w:ascii="Baskerville Old Face" w:hAnsi="Baskerville Old Face" w:cs="Times New Roman"/>
          <w:sz w:val="24"/>
          <w:szCs w:val="24"/>
        </w:rPr>
        <w:t>S</w:t>
      </w:r>
      <w:r w:rsidRPr="00C901C3">
        <w:rPr>
          <w:rFonts w:ascii="Baskerville Old Face" w:hAnsi="Baskerville Old Face" w:cs="Times New Roman"/>
          <w:sz w:val="24"/>
          <w:szCs w:val="24"/>
        </w:rPr>
        <w:t xml:space="preserve">i tratta di procedure che non riguardano direttamente le competenze dell’Autorità, avendo piuttosto quali destinatari diretti i soggetti che, a vario titolo, partecipano al processo legislativo. </w:t>
      </w:r>
    </w:p>
    <w:p w:rsidR="00FC15B4" w:rsidRPr="00C901C3" w:rsidRDefault="004B3114" w:rsidP="0056628A">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Tuttavia</w:t>
      </w:r>
      <w:r w:rsidR="00FC15B4" w:rsidRPr="00C901C3">
        <w:rPr>
          <w:rFonts w:ascii="Baskerville Old Face" w:hAnsi="Baskerville Old Face" w:cs="Times New Roman"/>
          <w:sz w:val="24"/>
          <w:szCs w:val="24"/>
        </w:rPr>
        <w:t xml:space="preserve">, poiché l’Autorità svolge un importante ruolo di segnalazione, stimolando la modifica o la rimozione di norme restrittive della concorrenza che </w:t>
      </w:r>
      <w:r w:rsidR="00CF615E" w:rsidRPr="00C901C3">
        <w:rPr>
          <w:rFonts w:ascii="Baskerville Old Face" w:hAnsi="Baskerville Old Face" w:cs="Times New Roman"/>
          <w:sz w:val="24"/>
          <w:szCs w:val="24"/>
        </w:rPr>
        <w:t>spesso</w:t>
      </w:r>
      <w:r w:rsidR="00FC15B4" w:rsidRPr="00C901C3">
        <w:rPr>
          <w:rFonts w:ascii="Baskerville Old Face" w:hAnsi="Baskerville Old Face" w:cs="Times New Roman"/>
          <w:sz w:val="24"/>
          <w:szCs w:val="24"/>
        </w:rPr>
        <w:t xml:space="preserve"> si traducono nella violazione delle regole unionali, </w:t>
      </w:r>
      <w:r w:rsidR="00D37331" w:rsidRPr="00C901C3">
        <w:rPr>
          <w:rFonts w:ascii="Baskerville Old Face" w:hAnsi="Baskerville Old Face" w:cs="Times New Roman"/>
          <w:sz w:val="24"/>
          <w:szCs w:val="24"/>
        </w:rPr>
        <w:t>ritengo</w:t>
      </w:r>
      <w:r w:rsidR="00FC15B4" w:rsidRPr="00C901C3">
        <w:rPr>
          <w:rFonts w:ascii="Baskerville Old Face" w:hAnsi="Baskerville Old Face" w:cs="Times New Roman"/>
          <w:sz w:val="24"/>
          <w:szCs w:val="24"/>
        </w:rPr>
        <w:t xml:space="preserve"> che l’esperienza maturata</w:t>
      </w:r>
      <w:r w:rsidRPr="00C901C3">
        <w:rPr>
          <w:rFonts w:ascii="Baskerville Old Face" w:hAnsi="Baskerville Old Face" w:cs="Times New Roman"/>
          <w:sz w:val="24"/>
          <w:szCs w:val="24"/>
        </w:rPr>
        <w:t>, in particolar modo quella più recente,</w:t>
      </w:r>
      <w:r w:rsidR="00FC15B4" w:rsidRPr="00C901C3">
        <w:rPr>
          <w:rFonts w:ascii="Baskerville Old Face" w:hAnsi="Baskerville Old Face" w:cs="Times New Roman"/>
          <w:sz w:val="24"/>
          <w:szCs w:val="24"/>
        </w:rPr>
        <w:t xml:space="preserve"> possa offrire elementi utili di riflessione per i lavori di codesta Commissione.</w:t>
      </w:r>
    </w:p>
    <w:p w:rsidR="00D94311" w:rsidRPr="00C901C3" w:rsidRDefault="00D94311" w:rsidP="0056628A">
      <w:pPr>
        <w:spacing w:after="0" w:line="480" w:lineRule="auto"/>
        <w:ind w:firstLine="708"/>
        <w:jc w:val="both"/>
        <w:rPr>
          <w:rFonts w:ascii="Baskerville Old Face" w:hAnsi="Baskerville Old Face" w:cs="Times New Roman"/>
          <w:sz w:val="24"/>
          <w:szCs w:val="24"/>
        </w:rPr>
      </w:pPr>
    </w:p>
    <w:p w:rsidR="00942235" w:rsidRPr="00C901C3" w:rsidRDefault="00942235" w:rsidP="0056628A">
      <w:pPr>
        <w:pStyle w:val="Paragrafoelenco"/>
        <w:numPr>
          <w:ilvl w:val="0"/>
          <w:numId w:val="1"/>
        </w:numPr>
        <w:spacing w:after="0" w:line="480" w:lineRule="auto"/>
        <w:jc w:val="both"/>
        <w:rPr>
          <w:rFonts w:ascii="Baskerville Old Face" w:hAnsi="Baskerville Old Face" w:cs="Times New Roman"/>
          <w:b/>
          <w:sz w:val="24"/>
          <w:szCs w:val="24"/>
        </w:rPr>
      </w:pPr>
      <w:r w:rsidRPr="00C901C3">
        <w:rPr>
          <w:rFonts w:ascii="Baskerville Old Face" w:hAnsi="Baskerville Old Face" w:cs="Times New Roman"/>
          <w:b/>
          <w:sz w:val="24"/>
          <w:szCs w:val="24"/>
        </w:rPr>
        <w:lastRenderedPageBreak/>
        <w:t>La funzione di advocacy dell’Autorità e il processo di apertura dei mercati.</w:t>
      </w:r>
    </w:p>
    <w:p w:rsidR="00942235" w:rsidRPr="00C901C3" w:rsidRDefault="00942235" w:rsidP="0056628A">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 xml:space="preserve">Prima di entrare nell’analisi delle questioni di merito più rilevanti, </w:t>
      </w:r>
      <w:r w:rsidR="00D37331" w:rsidRPr="00C901C3">
        <w:rPr>
          <w:rFonts w:ascii="Baskerville Old Face" w:hAnsi="Baskerville Old Face" w:cs="Times New Roman"/>
          <w:sz w:val="24"/>
          <w:szCs w:val="24"/>
        </w:rPr>
        <w:t>mi sembra</w:t>
      </w:r>
      <w:r w:rsidR="00D33578" w:rsidRPr="00C901C3">
        <w:rPr>
          <w:rFonts w:ascii="Baskerville Old Face" w:hAnsi="Baskerville Old Face" w:cs="Times New Roman"/>
          <w:sz w:val="24"/>
          <w:szCs w:val="24"/>
        </w:rPr>
        <w:t xml:space="preserve"> </w:t>
      </w:r>
      <w:r w:rsidRPr="00C901C3">
        <w:rPr>
          <w:rFonts w:ascii="Baskerville Old Face" w:hAnsi="Baskerville Old Face" w:cs="Times New Roman"/>
          <w:sz w:val="24"/>
          <w:szCs w:val="24"/>
        </w:rPr>
        <w:t>utile ricordare brevemente la cornice entro cui si colloca l’azione dell’Autorità per comprendere meglio strumenti e obiettivi dei suoi interventi.</w:t>
      </w:r>
    </w:p>
    <w:p w:rsidR="00942235" w:rsidRPr="00C901C3" w:rsidRDefault="00942235" w:rsidP="0056628A">
      <w:pPr>
        <w:spacing w:after="0" w:line="480" w:lineRule="auto"/>
        <w:ind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L’Autorità è stata dotata sin dall’origine di poteri consultivi e di segnalazione nei confronti del legislatore e delle amministrazioni pubbliche al fine di favorire l’adeguamento dell’ordinamento nazionale ai principi concorrenziali, anche di derivazione comunitaria. Tali poteri, previsti dagli articoli 21 e 22 della legge n. 287</w:t>
      </w:r>
      <w:r w:rsidR="00A519F1" w:rsidRPr="00C901C3">
        <w:rPr>
          <w:rFonts w:ascii="Baskerville Old Face" w:hAnsi="Baskerville Old Face" w:cs="Times New Roman"/>
          <w:sz w:val="24"/>
          <w:szCs w:val="24"/>
        </w:rPr>
        <w:t xml:space="preserve"> del 19</w:t>
      </w:r>
      <w:r w:rsidRPr="00C901C3">
        <w:rPr>
          <w:rFonts w:ascii="Baskerville Old Face" w:hAnsi="Baskerville Old Face" w:cs="Times New Roman"/>
          <w:sz w:val="24"/>
          <w:szCs w:val="24"/>
        </w:rPr>
        <w:t>90</w:t>
      </w:r>
      <w:r w:rsidR="00A519F1" w:rsidRPr="00C901C3">
        <w:rPr>
          <w:rFonts w:ascii="Baskerville Old Face" w:hAnsi="Baskerville Old Face" w:cs="Times New Roman"/>
          <w:sz w:val="24"/>
          <w:szCs w:val="24"/>
        </w:rPr>
        <w:t xml:space="preserve"> (“L. n. 287/90”)</w:t>
      </w:r>
      <w:r w:rsidRPr="00C901C3">
        <w:rPr>
          <w:rFonts w:ascii="Baskerville Old Face" w:hAnsi="Baskerville Old Face" w:cs="Times New Roman"/>
          <w:sz w:val="24"/>
          <w:szCs w:val="24"/>
        </w:rPr>
        <w:t xml:space="preserve">, hanno conosciuto un sensibile rafforzamento nel corso degli anni. Mi limito a ricordare che ad essi </w:t>
      </w:r>
      <w:r w:rsidR="00A519F1" w:rsidRPr="00C901C3">
        <w:rPr>
          <w:rFonts w:ascii="Baskerville Old Face" w:hAnsi="Baskerville Old Face" w:cs="Times New Roman"/>
          <w:sz w:val="24"/>
          <w:szCs w:val="24"/>
        </w:rPr>
        <w:t>sono stati aggiunti:</w:t>
      </w:r>
      <w:r w:rsidRPr="00C901C3">
        <w:rPr>
          <w:rFonts w:ascii="Baskerville Old Face" w:hAnsi="Baskerville Old Face" w:cs="Times New Roman"/>
          <w:sz w:val="24"/>
          <w:szCs w:val="24"/>
        </w:rPr>
        <w:t xml:space="preserve"> il parere preventivo obbligatorio dell’Autorità sugli schemi di disegni di legge governativi che introducono restrizioni all’accesso e all’esercizio di un’attività economica (articolo 34 del </w:t>
      </w:r>
      <w:r w:rsidR="00713D07" w:rsidRPr="00C901C3">
        <w:rPr>
          <w:rFonts w:ascii="Baskerville Old Face" w:hAnsi="Baskerville Old Face" w:cs="Times New Roman"/>
          <w:sz w:val="24"/>
          <w:szCs w:val="24"/>
        </w:rPr>
        <w:t xml:space="preserve">d.l. </w:t>
      </w:r>
      <w:r w:rsidRPr="00C901C3">
        <w:rPr>
          <w:rFonts w:ascii="Baskerville Old Face" w:hAnsi="Baskerville Old Face" w:cs="Times New Roman"/>
          <w:sz w:val="24"/>
          <w:szCs w:val="24"/>
        </w:rPr>
        <w:t>n. 201/2011, c.d. decreto Salva-Italia</w:t>
      </w:r>
      <w:r w:rsidR="003C5595" w:rsidRPr="00C901C3">
        <w:rPr>
          <w:rFonts w:ascii="Baskerville Old Face" w:hAnsi="Baskerville Old Face" w:cs="Times New Roman"/>
          <w:sz w:val="24"/>
          <w:szCs w:val="24"/>
        </w:rPr>
        <w:t>)</w:t>
      </w:r>
      <w:r w:rsidR="00A519F1" w:rsidRPr="00C901C3">
        <w:rPr>
          <w:rFonts w:ascii="Baskerville Old Face" w:hAnsi="Baskerville Old Face" w:cs="Times New Roman"/>
          <w:sz w:val="24"/>
          <w:szCs w:val="24"/>
        </w:rPr>
        <w:t>;</w:t>
      </w:r>
      <w:r w:rsidRPr="00C901C3">
        <w:rPr>
          <w:rFonts w:ascii="Baskerville Old Face" w:hAnsi="Baskerville Old Face" w:cs="Times New Roman"/>
          <w:sz w:val="24"/>
          <w:szCs w:val="24"/>
        </w:rPr>
        <w:t xml:space="preserve"> il potere di impugnativa degli atti amministrativi che si pongono in violazione delle regole di concorrenza </w:t>
      </w:r>
      <w:r w:rsidR="003C5595" w:rsidRPr="00C901C3">
        <w:rPr>
          <w:rFonts w:ascii="Baskerville Old Face" w:hAnsi="Baskerville Old Face" w:cs="Times New Roman"/>
          <w:sz w:val="24"/>
          <w:szCs w:val="24"/>
        </w:rPr>
        <w:t>(</w:t>
      </w:r>
      <w:r w:rsidR="00D33578" w:rsidRPr="00C901C3">
        <w:rPr>
          <w:rFonts w:ascii="Baskerville Old Face" w:hAnsi="Baskerville Old Face" w:cs="Times New Roman"/>
          <w:sz w:val="24"/>
          <w:szCs w:val="24"/>
        </w:rPr>
        <w:t>articolo</w:t>
      </w:r>
      <w:r w:rsidRPr="00C901C3">
        <w:rPr>
          <w:rFonts w:ascii="Baskerville Old Face" w:hAnsi="Baskerville Old Face" w:cs="Times New Roman"/>
          <w:sz w:val="24"/>
          <w:szCs w:val="24"/>
        </w:rPr>
        <w:t xml:space="preserve"> 21-bis, L. n. 287/90 introdotto dall’art. 35 del d.l. 201/2011)</w:t>
      </w:r>
      <w:r w:rsidR="00A519F1" w:rsidRPr="00C901C3">
        <w:rPr>
          <w:rFonts w:ascii="Baskerville Old Face" w:hAnsi="Baskerville Old Face" w:cs="Times New Roman"/>
          <w:sz w:val="24"/>
          <w:szCs w:val="24"/>
        </w:rPr>
        <w:t>;</w:t>
      </w:r>
      <w:r w:rsidRPr="00C901C3">
        <w:rPr>
          <w:rFonts w:ascii="Baskerville Old Face" w:hAnsi="Baskerville Old Face" w:cs="Times New Roman"/>
          <w:sz w:val="24"/>
          <w:szCs w:val="24"/>
        </w:rPr>
        <w:t xml:space="preserve"> il potere di segnalare alla Presidenza del Consiglio dei Ministri le leggi regionali introduttive di restrizioni alla concorrenza ai fini dell’eventuale impugnativa dinnanzi alla Corte Costituzionale (art</w:t>
      </w:r>
      <w:r w:rsidR="00D33578" w:rsidRPr="00C901C3">
        <w:rPr>
          <w:rFonts w:ascii="Baskerville Old Face" w:hAnsi="Baskerville Old Face" w:cs="Times New Roman"/>
          <w:sz w:val="24"/>
          <w:szCs w:val="24"/>
        </w:rPr>
        <w:t>icolo</w:t>
      </w:r>
      <w:r w:rsidRPr="00C901C3">
        <w:rPr>
          <w:rFonts w:ascii="Baskerville Old Face" w:hAnsi="Baskerville Old Face" w:cs="Times New Roman"/>
          <w:sz w:val="24"/>
          <w:szCs w:val="24"/>
        </w:rPr>
        <w:t xml:space="preserve"> 4, co. 1 del d.l. 1/2012, c.d. </w:t>
      </w:r>
      <w:r w:rsidR="00D33578" w:rsidRPr="00C901C3">
        <w:rPr>
          <w:rFonts w:ascii="Baskerville Old Face" w:hAnsi="Baskerville Old Face" w:cs="Times New Roman"/>
          <w:sz w:val="24"/>
          <w:szCs w:val="24"/>
        </w:rPr>
        <w:t xml:space="preserve">decreto </w:t>
      </w:r>
      <w:r w:rsidRPr="00C901C3">
        <w:rPr>
          <w:rFonts w:ascii="Baskerville Old Face" w:hAnsi="Baskerville Old Face" w:cs="Times New Roman"/>
          <w:sz w:val="24"/>
          <w:szCs w:val="24"/>
        </w:rPr>
        <w:t>Cresci-Italia).</w:t>
      </w:r>
    </w:p>
    <w:p w:rsidR="00942235" w:rsidRPr="00C901C3" w:rsidRDefault="00CF615E" w:rsidP="0056628A">
      <w:pPr>
        <w:spacing w:after="0" w:line="480" w:lineRule="auto"/>
        <w:ind w:firstLine="708"/>
        <w:jc w:val="both"/>
        <w:rPr>
          <w:rFonts w:ascii="Baskerville Old Face" w:hAnsi="Baskerville Old Face"/>
          <w:sz w:val="24"/>
          <w:szCs w:val="24"/>
        </w:rPr>
      </w:pPr>
      <w:r w:rsidRPr="00C901C3">
        <w:rPr>
          <w:rFonts w:ascii="Baskerville Old Face" w:hAnsi="Baskerville Old Face"/>
          <w:sz w:val="24"/>
          <w:szCs w:val="24"/>
        </w:rPr>
        <w:t>Per quanto riguarda l’attività svolta al riguardo nel bienn</w:t>
      </w:r>
      <w:r w:rsidR="00A519F1" w:rsidRPr="00C901C3">
        <w:rPr>
          <w:rFonts w:ascii="Baskerville Old Face" w:hAnsi="Baskerville Old Face"/>
          <w:sz w:val="24"/>
          <w:szCs w:val="24"/>
        </w:rPr>
        <w:t>i</w:t>
      </w:r>
      <w:r w:rsidRPr="00C901C3">
        <w:rPr>
          <w:rFonts w:ascii="Baskerville Old Face" w:hAnsi="Baskerville Old Face"/>
          <w:sz w:val="24"/>
          <w:szCs w:val="24"/>
        </w:rPr>
        <w:t>o</w:t>
      </w:r>
      <w:r w:rsidR="00942235" w:rsidRPr="00C901C3">
        <w:rPr>
          <w:rFonts w:ascii="Baskerville Old Face" w:hAnsi="Baskerville Old Face"/>
          <w:sz w:val="24"/>
          <w:szCs w:val="24"/>
        </w:rPr>
        <w:t xml:space="preserve"> 2020-2021, si è trattato di un totale di n. 180 interventi (101 nel 2021 e 79 nel 2020), di cui n. 63 </w:t>
      </w:r>
      <w:r w:rsidR="00942235" w:rsidRPr="00C901C3">
        <w:rPr>
          <w:rFonts w:ascii="Baskerville Old Face" w:hAnsi="Baskerville Old Face"/>
          <w:i/>
          <w:sz w:val="24"/>
          <w:szCs w:val="24"/>
        </w:rPr>
        <w:t>ex</w:t>
      </w:r>
      <w:r w:rsidR="00942235" w:rsidRPr="00C901C3">
        <w:rPr>
          <w:rFonts w:ascii="Baskerville Old Face" w:hAnsi="Baskerville Old Face"/>
          <w:sz w:val="24"/>
          <w:szCs w:val="24"/>
        </w:rPr>
        <w:t xml:space="preserve"> art. 21, n. 58 ex art. 22, n. 7 </w:t>
      </w:r>
      <w:r w:rsidR="00D33578" w:rsidRPr="00C901C3">
        <w:rPr>
          <w:rFonts w:ascii="Baskerville Old Face" w:hAnsi="Baskerville Old Face"/>
          <w:sz w:val="24"/>
          <w:szCs w:val="24"/>
        </w:rPr>
        <w:t xml:space="preserve">pareri </w:t>
      </w:r>
      <w:r w:rsidR="00942235" w:rsidRPr="00C901C3">
        <w:rPr>
          <w:rFonts w:ascii="Baskerville Old Face" w:hAnsi="Baskerville Old Face"/>
          <w:i/>
          <w:sz w:val="24"/>
          <w:szCs w:val="24"/>
        </w:rPr>
        <w:t>ex</w:t>
      </w:r>
      <w:r w:rsidR="00942235" w:rsidRPr="00C901C3">
        <w:rPr>
          <w:rFonts w:ascii="Baskerville Old Face" w:hAnsi="Baskerville Old Face"/>
          <w:sz w:val="24"/>
          <w:szCs w:val="24"/>
        </w:rPr>
        <w:t xml:space="preserve"> art. 22 alla Presidenza del Consiglio dei Ministri, n. 46 </w:t>
      </w:r>
      <w:r w:rsidR="00D33578" w:rsidRPr="00C901C3">
        <w:rPr>
          <w:rFonts w:ascii="Baskerville Old Face" w:hAnsi="Baskerville Old Face"/>
          <w:sz w:val="24"/>
          <w:szCs w:val="24"/>
        </w:rPr>
        <w:t xml:space="preserve">pareri </w:t>
      </w:r>
      <w:r w:rsidR="00942235" w:rsidRPr="00C901C3">
        <w:rPr>
          <w:rFonts w:ascii="Baskerville Old Face" w:hAnsi="Baskerville Old Face"/>
          <w:i/>
          <w:sz w:val="24"/>
          <w:szCs w:val="24"/>
        </w:rPr>
        <w:t>ex</w:t>
      </w:r>
      <w:r w:rsidR="00942235" w:rsidRPr="00C901C3">
        <w:rPr>
          <w:rFonts w:ascii="Baskerville Old Face" w:hAnsi="Baskerville Old Face"/>
          <w:sz w:val="24"/>
          <w:szCs w:val="24"/>
        </w:rPr>
        <w:t xml:space="preserve"> art. 21</w:t>
      </w:r>
      <w:r w:rsidR="00942235" w:rsidRPr="00C901C3">
        <w:rPr>
          <w:rFonts w:ascii="Baskerville Old Face" w:hAnsi="Baskerville Old Face"/>
          <w:i/>
          <w:sz w:val="24"/>
          <w:szCs w:val="24"/>
        </w:rPr>
        <w:t>bis</w:t>
      </w:r>
      <w:r w:rsidR="00942235" w:rsidRPr="00C901C3">
        <w:rPr>
          <w:rFonts w:ascii="Baskerville Old Face" w:hAnsi="Baskerville Old Face"/>
          <w:sz w:val="24"/>
          <w:szCs w:val="24"/>
        </w:rPr>
        <w:t xml:space="preserve">, </w:t>
      </w:r>
      <w:bookmarkStart w:id="1" w:name="_Hlk120113600"/>
      <w:r w:rsidR="00942235" w:rsidRPr="00C901C3">
        <w:rPr>
          <w:rFonts w:ascii="Baskerville Old Face" w:hAnsi="Baskerville Old Face"/>
          <w:sz w:val="24"/>
          <w:szCs w:val="24"/>
        </w:rPr>
        <w:t xml:space="preserve">n. 1 </w:t>
      </w:r>
      <w:r w:rsidR="00D33578" w:rsidRPr="00C901C3">
        <w:rPr>
          <w:rFonts w:ascii="Baskerville Old Face" w:hAnsi="Baskerville Old Face"/>
          <w:sz w:val="24"/>
          <w:szCs w:val="24"/>
        </w:rPr>
        <w:t xml:space="preserve">parere </w:t>
      </w:r>
      <w:r w:rsidR="00942235" w:rsidRPr="00C901C3">
        <w:rPr>
          <w:rFonts w:ascii="Baskerville Old Face" w:hAnsi="Baskerville Old Face"/>
          <w:sz w:val="24"/>
          <w:szCs w:val="24"/>
        </w:rPr>
        <w:t xml:space="preserve">ai sensi del d.lgs. n. 259/2003 - </w:t>
      </w:r>
      <w:r w:rsidR="00942235" w:rsidRPr="00C901C3">
        <w:rPr>
          <w:rFonts w:ascii="Baskerville Old Face" w:hAnsi="Baskerville Old Face"/>
          <w:i/>
          <w:sz w:val="24"/>
          <w:szCs w:val="24"/>
        </w:rPr>
        <w:t>Codice delle comunicazioni elettroniche</w:t>
      </w:r>
      <w:r w:rsidR="00942235" w:rsidRPr="00C901C3">
        <w:rPr>
          <w:rFonts w:ascii="Baskerville Old Face" w:hAnsi="Baskerville Old Face"/>
          <w:sz w:val="24"/>
          <w:szCs w:val="24"/>
        </w:rPr>
        <w:t xml:space="preserve">, n. 4 </w:t>
      </w:r>
      <w:r w:rsidR="00D33578" w:rsidRPr="00C901C3">
        <w:rPr>
          <w:rFonts w:ascii="Baskerville Old Face" w:hAnsi="Baskerville Old Face"/>
          <w:sz w:val="24"/>
          <w:szCs w:val="24"/>
        </w:rPr>
        <w:t xml:space="preserve">pareri </w:t>
      </w:r>
      <w:r w:rsidR="00942235" w:rsidRPr="00C901C3">
        <w:rPr>
          <w:rFonts w:ascii="Baskerville Old Face" w:hAnsi="Baskerville Old Face"/>
          <w:sz w:val="24"/>
          <w:szCs w:val="24"/>
        </w:rPr>
        <w:t>ai sensi del d.lgs. n. 9/2008</w:t>
      </w:r>
      <w:r w:rsidR="00942235" w:rsidRPr="00C901C3">
        <w:rPr>
          <w:rStyle w:val="Rimandonotaapidipagina"/>
          <w:rFonts w:ascii="Baskerville Old Face" w:hAnsi="Baskerville Old Face"/>
          <w:sz w:val="24"/>
          <w:szCs w:val="24"/>
        </w:rPr>
        <w:footnoteReference w:id="1"/>
      </w:r>
      <w:r w:rsidR="00942235" w:rsidRPr="00C901C3">
        <w:rPr>
          <w:rFonts w:ascii="Baskerville Old Face" w:hAnsi="Baskerville Old Face"/>
          <w:sz w:val="24"/>
          <w:szCs w:val="24"/>
        </w:rPr>
        <w:t xml:space="preserve"> e, per la prima volta, i casi ai sensi del nuovo art. 3, comma 3 del d.lgs. n. 142/2020</w:t>
      </w:r>
      <w:r w:rsidR="00942235" w:rsidRPr="00C901C3">
        <w:rPr>
          <w:rStyle w:val="Rimandonotaapidipagina"/>
          <w:rFonts w:ascii="Baskerville Old Face" w:hAnsi="Baskerville Old Face"/>
          <w:sz w:val="24"/>
          <w:szCs w:val="24"/>
        </w:rPr>
        <w:footnoteReference w:id="2"/>
      </w:r>
      <w:r w:rsidR="00942235" w:rsidRPr="00C901C3">
        <w:rPr>
          <w:rFonts w:ascii="Baskerville Old Face" w:hAnsi="Baskerville Old Face"/>
          <w:sz w:val="24"/>
          <w:szCs w:val="24"/>
        </w:rPr>
        <w:t>, pari a n. 1 nel 2021</w:t>
      </w:r>
      <w:bookmarkEnd w:id="1"/>
      <w:r w:rsidR="00942235" w:rsidRPr="00C901C3">
        <w:rPr>
          <w:rFonts w:ascii="Baskerville Old Face" w:hAnsi="Baskerville Old Face"/>
          <w:sz w:val="24"/>
          <w:szCs w:val="24"/>
        </w:rPr>
        <w:t>.</w:t>
      </w:r>
    </w:p>
    <w:p w:rsidR="00942235" w:rsidRPr="00C901C3" w:rsidRDefault="005947D9" w:rsidP="0056628A">
      <w:pPr>
        <w:spacing w:after="0" w:line="480" w:lineRule="auto"/>
        <w:ind w:firstLine="708"/>
        <w:jc w:val="both"/>
        <w:rPr>
          <w:rFonts w:ascii="Baskerville Old Face" w:hAnsi="Baskerville Old Face"/>
          <w:sz w:val="24"/>
          <w:szCs w:val="24"/>
        </w:rPr>
      </w:pPr>
      <w:r w:rsidRPr="00C901C3">
        <w:rPr>
          <w:rFonts w:ascii="Baskerville Old Face" w:hAnsi="Baskerville Old Face" w:cs="Arial"/>
          <w:color w:val="333333"/>
          <w:sz w:val="24"/>
          <w:szCs w:val="24"/>
          <w:shd w:val="clear" w:color="auto" w:fill="FFFFFF"/>
        </w:rPr>
        <w:t xml:space="preserve">Con periodicità annuale, vengono pubblicati sul sito dell’Autorità i risultati del monitoraggio degli esiti </w:t>
      </w:r>
      <w:r w:rsidR="00CF615E" w:rsidRPr="00C901C3">
        <w:rPr>
          <w:rFonts w:ascii="Baskerville Old Face" w:hAnsi="Baskerville Old Face" w:cs="Arial"/>
          <w:color w:val="333333"/>
          <w:sz w:val="24"/>
          <w:szCs w:val="24"/>
          <w:shd w:val="clear" w:color="auto" w:fill="FFFFFF"/>
        </w:rPr>
        <w:t>di tali</w:t>
      </w:r>
      <w:r w:rsidRPr="00C901C3">
        <w:rPr>
          <w:rFonts w:ascii="Baskerville Old Face" w:hAnsi="Baskerville Old Face" w:cs="Arial"/>
          <w:color w:val="333333"/>
          <w:sz w:val="24"/>
          <w:szCs w:val="24"/>
          <w:shd w:val="clear" w:color="auto" w:fill="FFFFFF"/>
        </w:rPr>
        <w:t xml:space="preserve"> interventi di segnalazione e consultivi riferiti all’ultimo biennio. </w:t>
      </w:r>
      <w:r w:rsidR="00942235" w:rsidRPr="00C901C3">
        <w:rPr>
          <w:rFonts w:ascii="Baskerville Old Face" w:hAnsi="Baskerville Old Face"/>
          <w:sz w:val="24"/>
          <w:szCs w:val="24"/>
        </w:rPr>
        <w:t xml:space="preserve">Nel confronto fra il </w:t>
      </w:r>
      <w:r w:rsidR="00942235" w:rsidRPr="00C901C3">
        <w:rPr>
          <w:rFonts w:ascii="Baskerville Old Face" w:hAnsi="Baskerville Old Face"/>
          <w:sz w:val="24"/>
          <w:szCs w:val="24"/>
        </w:rPr>
        <w:lastRenderedPageBreak/>
        <w:t xml:space="preserve">2021 e il 2020 si registra un aumento complessivo del numero degli interventi di </w:t>
      </w:r>
      <w:r w:rsidR="00942235" w:rsidRPr="00C901C3">
        <w:rPr>
          <w:rFonts w:ascii="Baskerville Old Face" w:hAnsi="Baskerville Old Face"/>
          <w:i/>
          <w:sz w:val="24"/>
          <w:szCs w:val="24"/>
        </w:rPr>
        <w:t>advocacy</w:t>
      </w:r>
      <w:r w:rsidR="00942235" w:rsidRPr="00C901C3">
        <w:rPr>
          <w:rFonts w:ascii="Baskerville Old Face" w:hAnsi="Baskerville Old Face"/>
          <w:sz w:val="24"/>
          <w:szCs w:val="24"/>
        </w:rPr>
        <w:t>, passati a n. 101 da n. 79, dovuto sostanzialmente al significativo incremento dei casi ai sensi dell’art. 21-bis, comprensivi dei 21-bis del Testo unico in materia di società a partecipazione pubblica - TUSPP (passati a 34 del 2021 da</w:t>
      </w:r>
      <w:r w:rsidR="00713D07" w:rsidRPr="00C901C3">
        <w:rPr>
          <w:rFonts w:ascii="Baskerville Old Face" w:hAnsi="Baskerville Old Face"/>
          <w:sz w:val="24"/>
          <w:szCs w:val="24"/>
        </w:rPr>
        <w:t>i</w:t>
      </w:r>
      <w:r w:rsidR="00942235" w:rsidRPr="00C901C3">
        <w:rPr>
          <w:rFonts w:ascii="Baskerville Old Face" w:hAnsi="Baskerville Old Face"/>
          <w:sz w:val="24"/>
          <w:szCs w:val="24"/>
        </w:rPr>
        <w:t xml:space="preserve"> 12 del 2020, soprattutto in ragione dell’elevato numero di casi riguardanti </w:t>
      </w:r>
      <w:r w:rsidR="00713D07" w:rsidRPr="00C901C3">
        <w:rPr>
          <w:rFonts w:ascii="Baskerville Old Face" w:hAnsi="Baskerville Old Face"/>
          <w:sz w:val="24"/>
          <w:szCs w:val="24"/>
        </w:rPr>
        <w:t xml:space="preserve">il </w:t>
      </w:r>
      <w:r w:rsidR="00D33578" w:rsidRPr="00C901C3">
        <w:rPr>
          <w:rFonts w:ascii="Baskerville Old Face" w:hAnsi="Baskerville Old Face"/>
          <w:sz w:val="24"/>
          <w:szCs w:val="24"/>
        </w:rPr>
        <w:t>noto</w:t>
      </w:r>
      <w:r w:rsidR="00713D07" w:rsidRPr="00C901C3">
        <w:rPr>
          <w:rFonts w:ascii="Baskerville Old Face" w:hAnsi="Baskerville Old Face"/>
          <w:sz w:val="24"/>
          <w:szCs w:val="24"/>
        </w:rPr>
        <w:t xml:space="preserve"> tema del</w:t>
      </w:r>
      <w:r w:rsidR="00942235" w:rsidRPr="00C901C3">
        <w:rPr>
          <w:rFonts w:ascii="Baskerville Old Face" w:hAnsi="Baskerville Old Face"/>
          <w:sz w:val="24"/>
          <w:szCs w:val="24"/>
        </w:rPr>
        <w:t>le concessioni demaniali marittime</w:t>
      </w:r>
      <w:r w:rsidR="00713D07" w:rsidRPr="00C901C3">
        <w:rPr>
          <w:rFonts w:ascii="Baskerville Old Face" w:hAnsi="Baskerville Old Face"/>
          <w:sz w:val="24"/>
          <w:szCs w:val="24"/>
        </w:rPr>
        <w:t>)</w:t>
      </w:r>
      <w:r w:rsidR="00942235" w:rsidRPr="00C901C3">
        <w:rPr>
          <w:rFonts w:ascii="Baskerville Old Face" w:hAnsi="Baskerville Old Face"/>
          <w:sz w:val="24"/>
          <w:szCs w:val="24"/>
        </w:rPr>
        <w:t>.</w:t>
      </w:r>
    </w:p>
    <w:p w:rsidR="005947D9" w:rsidRPr="00C901C3" w:rsidRDefault="005947D9" w:rsidP="0056628A">
      <w:pPr>
        <w:spacing w:after="0" w:line="480" w:lineRule="auto"/>
        <w:ind w:right="-1" w:firstLine="708"/>
        <w:jc w:val="both"/>
        <w:rPr>
          <w:rFonts w:ascii="Baskerville Old Face" w:hAnsi="Baskerville Old Face"/>
          <w:sz w:val="24"/>
          <w:szCs w:val="24"/>
        </w:rPr>
      </w:pPr>
      <w:bookmarkStart w:id="2" w:name="_Hlk83830926"/>
      <w:r w:rsidRPr="00C901C3">
        <w:rPr>
          <w:rFonts w:ascii="Baskerville Old Face" w:hAnsi="Baskerville Old Face"/>
          <w:sz w:val="24"/>
          <w:szCs w:val="24"/>
        </w:rPr>
        <w:t>Se è vero che l</w:t>
      </w:r>
      <w:r w:rsidR="00942235" w:rsidRPr="00C901C3">
        <w:rPr>
          <w:rFonts w:ascii="Baskerville Old Face" w:hAnsi="Baskerville Old Face"/>
          <w:sz w:val="24"/>
          <w:szCs w:val="24"/>
        </w:rPr>
        <w:t>e criticità concorrenziali più frequentemente riscontrate sono riconducibili a restrizioni concorrenziali in tema di “gare e appalti” e “affidamenti senza gara” (pari al 61% circa del totale delle restrizioni riscontrate)</w:t>
      </w:r>
      <w:r w:rsidRPr="00C901C3">
        <w:rPr>
          <w:rFonts w:ascii="Baskerville Old Face" w:hAnsi="Baskerville Old Face"/>
          <w:sz w:val="24"/>
          <w:szCs w:val="24"/>
        </w:rPr>
        <w:t>, un importante rilievo assumono le</w:t>
      </w:r>
      <w:r w:rsidR="00942235" w:rsidRPr="00C901C3">
        <w:rPr>
          <w:rFonts w:ascii="Baskerville Old Face" w:hAnsi="Baskerville Old Face"/>
          <w:sz w:val="24"/>
          <w:szCs w:val="24"/>
        </w:rPr>
        <w:t xml:space="preserve"> “limitazioni all’esercizio dell’attività di impresa” (pari al 31% del totale delle restrizioni segnalate). </w:t>
      </w:r>
      <w:bookmarkEnd w:id="2"/>
    </w:p>
    <w:p w:rsidR="00942235" w:rsidRPr="00C901C3" w:rsidRDefault="005947D9"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Attraverso un’analisi dettagliata dei dati, è possibile mettere in evidenza come la percentuale di successo delle segnalazioni</w:t>
      </w:r>
      <w:r w:rsidR="00D94311" w:rsidRPr="00C901C3">
        <w:rPr>
          <w:rFonts w:ascii="Baskerville Old Face" w:hAnsi="Baskerville Old Face" w:cs="Times New Roman"/>
          <w:sz w:val="24"/>
          <w:szCs w:val="24"/>
        </w:rPr>
        <w:t xml:space="preserve"> di questo tipo</w:t>
      </w:r>
      <w:r w:rsidRPr="00C901C3">
        <w:rPr>
          <w:rFonts w:ascii="Baskerville Old Face" w:hAnsi="Baskerville Old Face" w:cs="Times New Roman"/>
          <w:sz w:val="24"/>
          <w:szCs w:val="24"/>
        </w:rPr>
        <w:t xml:space="preserve"> varia sensibilmente in base al tipo di destinatario: </w:t>
      </w:r>
      <w:r w:rsidR="00713D07" w:rsidRPr="00C901C3">
        <w:rPr>
          <w:rFonts w:ascii="Baskerville Old Face" w:hAnsi="Baskerville Old Face" w:cs="Times New Roman"/>
          <w:sz w:val="24"/>
          <w:szCs w:val="24"/>
        </w:rPr>
        <w:t xml:space="preserve">nei casi in cui il destinatario è un’amministrazione/istituzione locale, il tasso di successo sale al 88% (e pari al 75% nei casi di destinatario misto), mentre </w:t>
      </w:r>
      <w:r w:rsidRPr="00C901C3">
        <w:rPr>
          <w:rFonts w:ascii="Baskerville Old Face" w:hAnsi="Baskerville Old Face" w:cs="Times New Roman"/>
          <w:sz w:val="24"/>
          <w:szCs w:val="24"/>
        </w:rPr>
        <w:t xml:space="preserve">nei casi in cui l’intervento è </w:t>
      </w:r>
      <w:r w:rsidR="00552103" w:rsidRPr="00C901C3">
        <w:rPr>
          <w:rFonts w:ascii="Baskerville Old Face" w:hAnsi="Baskerville Old Face" w:cs="Times New Roman"/>
          <w:sz w:val="24"/>
          <w:szCs w:val="24"/>
        </w:rPr>
        <w:t xml:space="preserve">stato </w:t>
      </w:r>
      <w:r w:rsidRPr="00C901C3">
        <w:rPr>
          <w:rFonts w:ascii="Baskerville Old Face" w:hAnsi="Baskerville Old Face" w:cs="Times New Roman"/>
          <w:sz w:val="24"/>
          <w:szCs w:val="24"/>
        </w:rPr>
        <w:t xml:space="preserve">rivolto ad una amministrazione/istituzione centrale, </w:t>
      </w:r>
      <w:r w:rsidR="00713D07" w:rsidRPr="00C901C3">
        <w:rPr>
          <w:rFonts w:ascii="Baskerville Old Face" w:hAnsi="Baskerville Old Face" w:cs="Times New Roman"/>
          <w:sz w:val="24"/>
          <w:szCs w:val="24"/>
        </w:rPr>
        <w:t>il tasso scende</w:t>
      </w:r>
      <w:r w:rsidRPr="00C901C3">
        <w:rPr>
          <w:rFonts w:ascii="Baskerville Old Face" w:hAnsi="Baskerville Old Face" w:cs="Times New Roman"/>
          <w:sz w:val="24"/>
          <w:szCs w:val="24"/>
        </w:rPr>
        <w:t xml:space="preserve"> al 26%, presumibilmente anche in ragione della natura degli atti incisi</w:t>
      </w:r>
      <w:r w:rsidR="00D94311" w:rsidRPr="00C901C3">
        <w:rPr>
          <w:rFonts w:ascii="Baskerville Old Face" w:hAnsi="Baskerville Old Face" w:cs="Times New Roman"/>
          <w:sz w:val="24"/>
          <w:szCs w:val="24"/>
        </w:rPr>
        <w:t>.</w:t>
      </w:r>
    </w:p>
    <w:p w:rsidR="00D94311" w:rsidRPr="00C901C3" w:rsidRDefault="00713D07"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Quello che rileva è che,</w:t>
      </w:r>
      <w:r w:rsidR="00D94311" w:rsidRPr="00C901C3">
        <w:rPr>
          <w:rFonts w:ascii="Baskerville Old Face" w:hAnsi="Baskerville Old Face" w:cs="Times New Roman"/>
          <w:sz w:val="24"/>
          <w:szCs w:val="24"/>
        </w:rPr>
        <w:t xml:space="preserve"> nel segnalare al legislatore le norme interne che non eliminano le restrizioni esistenti oppure ne introducono di nuove e ingiustificate, l’Autorità </w:t>
      </w:r>
      <w:r w:rsidR="00CF615E" w:rsidRPr="00C901C3">
        <w:rPr>
          <w:rFonts w:ascii="Baskerville Old Face" w:hAnsi="Baskerville Old Face" w:cs="Times New Roman"/>
          <w:sz w:val="24"/>
          <w:szCs w:val="24"/>
        </w:rPr>
        <w:t xml:space="preserve">ha </w:t>
      </w:r>
      <w:r w:rsidRPr="00C901C3">
        <w:rPr>
          <w:rFonts w:ascii="Baskerville Old Face" w:hAnsi="Baskerville Old Face" w:cs="Times New Roman"/>
          <w:sz w:val="24"/>
          <w:szCs w:val="24"/>
        </w:rPr>
        <w:t xml:space="preserve">non di rado </w:t>
      </w:r>
      <w:r w:rsidR="00D94311" w:rsidRPr="00C901C3">
        <w:rPr>
          <w:rFonts w:ascii="Baskerville Old Face" w:hAnsi="Baskerville Old Face" w:cs="Times New Roman"/>
          <w:sz w:val="24"/>
          <w:szCs w:val="24"/>
        </w:rPr>
        <w:t>evidenzia</w:t>
      </w:r>
      <w:r w:rsidR="00CF615E" w:rsidRPr="00C901C3">
        <w:rPr>
          <w:rFonts w:ascii="Baskerville Old Face" w:hAnsi="Baskerville Old Face" w:cs="Times New Roman"/>
          <w:sz w:val="24"/>
          <w:szCs w:val="24"/>
        </w:rPr>
        <w:t>to</w:t>
      </w:r>
      <w:r w:rsidR="00D94311" w:rsidRPr="00C901C3">
        <w:rPr>
          <w:rFonts w:ascii="Baskerville Old Face" w:hAnsi="Baskerville Old Face" w:cs="Times New Roman"/>
          <w:sz w:val="24"/>
          <w:szCs w:val="24"/>
        </w:rPr>
        <w:t xml:space="preserve"> c</w:t>
      </w:r>
      <w:r w:rsidR="00CF615E" w:rsidRPr="00C901C3">
        <w:rPr>
          <w:rFonts w:ascii="Baskerville Old Face" w:hAnsi="Baskerville Old Face" w:cs="Times New Roman"/>
          <w:sz w:val="24"/>
          <w:szCs w:val="24"/>
        </w:rPr>
        <w:t>ome</w:t>
      </w:r>
      <w:r w:rsidR="00D94311" w:rsidRPr="00C901C3">
        <w:rPr>
          <w:rFonts w:ascii="Baskerville Old Face" w:hAnsi="Baskerville Old Face" w:cs="Times New Roman"/>
          <w:sz w:val="24"/>
          <w:szCs w:val="24"/>
        </w:rPr>
        <w:t xml:space="preserve"> le stesse si pon</w:t>
      </w:r>
      <w:r w:rsidR="00D33578" w:rsidRPr="00C901C3">
        <w:rPr>
          <w:rFonts w:ascii="Baskerville Old Face" w:hAnsi="Baskerville Old Face" w:cs="Times New Roman"/>
          <w:sz w:val="24"/>
          <w:szCs w:val="24"/>
        </w:rPr>
        <w:t>gano</w:t>
      </w:r>
      <w:r w:rsidR="00CF615E" w:rsidRPr="00C901C3">
        <w:rPr>
          <w:rFonts w:ascii="Baskerville Old Face" w:hAnsi="Baskerville Old Face" w:cs="Times New Roman"/>
          <w:sz w:val="24"/>
          <w:szCs w:val="24"/>
        </w:rPr>
        <w:t xml:space="preserve"> </w:t>
      </w:r>
      <w:r w:rsidR="00D94311" w:rsidRPr="00C901C3">
        <w:rPr>
          <w:rFonts w:ascii="Baskerville Old Face" w:hAnsi="Baskerville Old Face" w:cs="Times New Roman"/>
          <w:sz w:val="24"/>
          <w:szCs w:val="24"/>
        </w:rPr>
        <w:t xml:space="preserve">anche in contrasto con i principi </w:t>
      </w:r>
      <w:r w:rsidR="00A519F1" w:rsidRPr="00C901C3">
        <w:rPr>
          <w:rFonts w:ascii="Baskerville Old Face" w:hAnsi="Baskerville Old Face" w:cs="Times New Roman"/>
          <w:sz w:val="24"/>
          <w:szCs w:val="24"/>
        </w:rPr>
        <w:t>comunitari</w:t>
      </w:r>
      <w:r w:rsidR="00D94311" w:rsidRPr="00C901C3">
        <w:rPr>
          <w:rFonts w:ascii="Baskerville Old Face" w:hAnsi="Baskerville Old Face" w:cs="Times New Roman"/>
          <w:sz w:val="24"/>
          <w:szCs w:val="24"/>
        </w:rPr>
        <w:t xml:space="preserve"> relativi alle materie di volta in volta considerate.</w:t>
      </w:r>
      <w:r w:rsidR="0056628A" w:rsidRPr="00C901C3">
        <w:rPr>
          <w:rFonts w:ascii="Baskerville Old Face" w:hAnsi="Baskerville Old Face" w:cs="Times New Roman"/>
          <w:sz w:val="24"/>
          <w:szCs w:val="24"/>
        </w:rPr>
        <w:t xml:space="preserve"> </w:t>
      </w:r>
      <w:r w:rsidR="00D94311" w:rsidRPr="00C901C3">
        <w:rPr>
          <w:rFonts w:ascii="Baskerville Old Face" w:hAnsi="Baskerville Old Face" w:cs="Times New Roman"/>
          <w:sz w:val="24"/>
          <w:szCs w:val="24"/>
        </w:rPr>
        <w:t xml:space="preserve">Molte delle procedure di infrazione hanno infatti poi riguardato proprio restrizioni concorrenziali </w:t>
      </w:r>
      <w:r w:rsidR="003C5595" w:rsidRPr="00C901C3">
        <w:rPr>
          <w:rFonts w:ascii="Baskerville Old Face" w:hAnsi="Baskerville Old Face" w:cs="Times New Roman"/>
          <w:sz w:val="24"/>
          <w:szCs w:val="24"/>
        </w:rPr>
        <w:t xml:space="preserve">segnalate </w:t>
      </w:r>
      <w:r w:rsidR="00D94311" w:rsidRPr="00C901C3">
        <w:rPr>
          <w:rFonts w:ascii="Baskerville Old Face" w:hAnsi="Baskerville Old Face" w:cs="Times New Roman"/>
          <w:sz w:val="24"/>
          <w:szCs w:val="24"/>
        </w:rPr>
        <w:t xml:space="preserve">dalla stessa </w:t>
      </w:r>
      <w:r w:rsidR="003C5595" w:rsidRPr="00C901C3">
        <w:rPr>
          <w:rFonts w:ascii="Baskerville Old Face" w:hAnsi="Baskerville Old Face" w:cs="Times New Roman"/>
          <w:sz w:val="24"/>
          <w:szCs w:val="24"/>
        </w:rPr>
        <w:t xml:space="preserve">Autorità </w:t>
      </w:r>
      <w:r w:rsidR="00D94311" w:rsidRPr="00C901C3">
        <w:rPr>
          <w:rFonts w:ascii="Baskerville Old Face" w:hAnsi="Baskerville Old Face" w:cs="Times New Roman"/>
          <w:sz w:val="24"/>
          <w:szCs w:val="24"/>
        </w:rPr>
        <w:t xml:space="preserve">nel corso degli anni. </w:t>
      </w:r>
    </w:p>
    <w:p w:rsidR="00E362DB" w:rsidRPr="00C901C3" w:rsidRDefault="0021600C" w:rsidP="0056628A">
      <w:pPr>
        <w:spacing w:after="0" w:line="480" w:lineRule="auto"/>
        <w:ind w:firstLine="708"/>
        <w:jc w:val="both"/>
        <w:rPr>
          <w:rFonts w:ascii="Baskerville Old Face" w:hAnsi="Baskerville Old Face"/>
          <w:sz w:val="24"/>
          <w:szCs w:val="24"/>
        </w:rPr>
      </w:pPr>
      <w:r>
        <w:rPr>
          <w:rFonts w:ascii="Baskerville Old Face" w:eastAsiaTheme="majorEastAsia" w:hAnsi="Baskerville Old Face" w:cs="Times New Roman"/>
          <w:sz w:val="24"/>
          <w:szCs w:val="24"/>
          <w:lang w:eastAsia="it-IT"/>
        </w:rPr>
        <w:t xml:space="preserve">Vorrei in questa </w:t>
      </w:r>
      <w:r w:rsidR="00ED156E">
        <w:rPr>
          <w:rFonts w:ascii="Baskerville Old Face" w:eastAsiaTheme="majorEastAsia" w:hAnsi="Baskerville Old Face" w:cs="Times New Roman"/>
          <w:sz w:val="24"/>
          <w:szCs w:val="24"/>
          <w:lang w:eastAsia="it-IT"/>
        </w:rPr>
        <w:t>illustre sede</w:t>
      </w:r>
      <w:r w:rsidR="00E362DB" w:rsidRPr="00C901C3">
        <w:rPr>
          <w:rFonts w:ascii="Baskerville Old Face" w:eastAsiaTheme="majorEastAsia" w:hAnsi="Baskerville Old Face" w:cs="Times New Roman"/>
          <w:sz w:val="24"/>
          <w:szCs w:val="24"/>
          <w:lang w:eastAsia="it-IT"/>
        </w:rPr>
        <w:t xml:space="preserve"> </w:t>
      </w:r>
      <w:r w:rsidR="00ED156E">
        <w:rPr>
          <w:rFonts w:ascii="Baskerville Old Face" w:eastAsiaTheme="majorEastAsia" w:hAnsi="Baskerville Old Face" w:cs="Times New Roman"/>
          <w:sz w:val="24"/>
          <w:szCs w:val="24"/>
          <w:lang w:eastAsia="it-IT"/>
        </w:rPr>
        <w:t>sottolineare</w:t>
      </w:r>
      <w:r w:rsidR="00E362DB" w:rsidRPr="00C901C3">
        <w:rPr>
          <w:rFonts w:ascii="Baskerville Old Face" w:eastAsiaTheme="majorEastAsia" w:hAnsi="Baskerville Old Face" w:cs="Times New Roman"/>
          <w:sz w:val="24"/>
          <w:szCs w:val="24"/>
          <w:lang w:eastAsia="it-IT"/>
        </w:rPr>
        <w:t xml:space="preserve"> anche</w:t>
      </w:r>
      <w:r w:rsidR="00ED156E">
        <w:rPr>
          <w:rFonts w:ascii="Baskerville Old Face" w:eastAsiaTheme="majorEastAsia" w:hAnsi="Baskerville Old Face" w:cs="Times New Roman"/>
          <w:sz w:val="24"/>
          <w:szCs w:val="24"/>
          <w:lang w:eastAsia="it-IT"/>
        </w:rPr>
        <w:t xml:space="preserve"> come</w:t>
      </w:r>
      <w:r w:rsidR="00E362DB" w:rsidRPr="00C901C3">
        <w:rPr>
          <w:rFonts w:ascii="Baskerville Old Face" w:eastAsiaTheme="majorEastAsia" w:hAnsi="Baskerville Old Face" w:cs="Times New Roman"/>
          <w:sz w:val="24"/>
          <w:szCs w:val="24"/>
          <w:lang w:eastAsia="it-IT"/>
        </w:rPr>
        <w:t xml:space="preserve"> il consolidamento di una giurisprudenza nazionale p</w:t>
      </w:r>
      <w:r w:rsidR="004B3114" w:rsidRPr="00C901C3">
        <w:rPr>
          <w:rFonts w:ascii="Baskerville Old Face" w:eastAsiaTheme="majorEastAsia" w:hAnsi="Baskerville Old Face" w:cs="Times New Roman"/>
          <w:sz w:val="24"/>
          <w:szCs w:val="24"/>
          <w:lang w:eastAsia="it-IT"/>
        </w:rPr>
        <w:t xml:space="preserve">uò </w:t>
      </w:r>
      <w:r w:rsidR="00E362DB" w:rsidRPr="00C901C3">
        <w:rPr>
          <w:rFonts w:ascii="Baskerville Old Face" w:eastAsiaTheme="majorEastAsia" w:hAnsi="Baskerville Old Face" w:cs="Times New Roman"/>
          <w:sz w:val="24"/>
          <w:szCs w:val="24"/>
          <w:lang w:eastAsia="it-IT"/>
        </w:rPr>
        <w:t>pregiudicare l’effetto utile delle norme del Trattato e quindi</w:t>
      </w:r>
      <w:r w:rsidR="00ED156E">
        <w:rPr>
          <w:rFonts w:ascii="Baskerville Old Face" w:eastAsiaTheme="majorEastAsia" w:hAnsi="Baskerville Old Face" w:cs="Times New Roman"/>
          <w:sz w:val="24"/>
          <w:szCs w:val="24"/>
          <w:lang w:eastAsia="it-IT"/>
        </w:rPr>
        <w:t>, potenzialmente,</w:t>
      </w:r>
      <w:r w:rsidR="00E362DB" w:rsidRPr="00C901C3">
        <w:rPr>
          <w:rFonts w:ascii="Baskerville Old Face" w:eastAsiaTheme="majorEastAsia" w:hAnsi="Baskerville Old Face" w:cs="Times New Roman"/>
          <w:sz w:val="24"/>
          <w:szCs w:val="24"/>
          <w:lang w:eastAsia="it-IT"/>
        </w:rPr>
        <w:t xml:space="preserve"> determinare l’apertura di una procedura di infrazione </w:t>
      </w:r>
      <w:r w:rsidR="00E362DB" w:rsidRPr="00C901C3">
        <w:rPr>
          <w:rFonts w:ascii="Baskerville Old Face" w:hAnsi="Baskerville Old Face" w:cs="Times New Roman"/>
          <w:sz w:val="24"/>
          <w:szCs w:val="24"/>
        </w:rPr>
        <w:t>da parte della Commissione UE</w:t>
      </w:r>
      <w:r w:rsidR="00E362DB" w:rsidRPr="00C901C3">
        <w:rPr>
          <w:rStyle w:val="Rimandonotaapidipagina"/>
          <w:rFonts w:ascii="Baskerville Old Face" w:hAnsi="Baskerville Old Face" w:cs="Times New Roman"/>
          <w:sz w:val="24"/>
          <w:szCs w:val="24"/>
        </w:rPr>
        <w:footnoteReference w:id="3"/>
      </w:r>
      <w:r w:rsidR="00E362DB" w:rsidRPr="00C901C3">
        <w:rPr>
          <w:rFonts w:ascii="Baskerville Old Face" w:hAnsi="Baskerville Old Face" w:cs="Times New Roman"/>
          <w:sz w:val="24"/>
          <w:szCs w:val="24"/>
        </w:rPr>
        <w:t xml:space="preserve">. Per tale motivo </w:t>
      </w:r>
      <w:r w:rsidR="00E362DB" w:rsidRPr="00C901C3">
        <w:rPr>
          <w:rFonts w:ascii="Baskerville Old Face" w:hAnsi="Baskerville Old Face"/>
          <w:sz w:val="24"/>
          <w:szCs w:val="24"/>
        </w:rPr>
        <w:t xml:space="preserve">all’attività sopra illustrata si affianca anche </w:t>
      </w:r>
      <w:r w:rsidR="00581CBC" w:rsidRPr="00C901C3">
        <w:rPr>
          <w:rFonts w:ascii="Baskerville Old Face" w:hAnsi="Baskerville Old Face"/>
          <w:sz w:val="24"/>
          <w:szCs w:val="24"/>
        </w:rPr>
        <w:t>una costante</w:t>
      </w:r>
      <w:r w:rsidR="00E362DB" w:rsidRPr="00C901C3">
        <w:rPr>
          <w:rFonts w:ascii="Baskerville Old Face" w:hAnsi="Baskerville Old Face"/>
          <w:sz w:val="24"/>
          <w:szCs w:val="24"/>
        </w:rPr>
        <w:t xml:space="preserve"> valutazione </w:t>
      </w:r>
      <w:r w:rsidR="00581CBC" w:rsidRPr="00C901C3">
        <w:rPr>
          <w:rFonts w:ascii="Baskerville Old Face" w:hAnsi="Baskerville Old Face"/>
          <w:sz w:val="24"/>
          <w:szCs w:val="24"/>
        </w:rPr>
        <w:t xml:space="preserve">da parte dell’Autorità </w:t>
      </w:r>
      <w:r w:rsidR="00E362DB" w:rsidRPr="00C901C3">
        <w:rPr>
          <w:rFonts w:ascii="Baskerville Old Face" w:hAnsi="Baskerville Old Face"/>
          <w:sz w:val="24"/>
          <w:szCs w:val="24"/>
        </w:rPr>
        <w:t xml:space="preserve">delle </w:t>
      </w:r>
      <w:r w:rsidR="00E362DB" w:rsidRPr="00C901C3">
        <w:rPr>
          <w:rFonts w:ascii="Baskerville Old Face" w:hAnsi="Baskerville Old Face"/>
          <w:sz w:val="24"/>
          <w:szCs w:val="24"/>
        </w:rPr>
        <w:lastRenderedPageBreak/>
        <w:t xml:space="preserve">domande di pronunce pregiudiziali </w:t>
      </w:r>
      <w:r w:rsidR="00A519F1" w:rsidRPr="00C901C3">
        <w:rPr>
          <w:rFonts w:ascii="Baskerville Old Face" w:hAnsi="Baskerville Old Face"/>
          <w:sz w:val="24"/>
          <w:szCs w:val="24"/>
        </w:rPr>
        <w:t>a</w:t>
      </w:r>
      <w:r w:rsidR="00E362DB" w:rsidRPr="00C901C3">
        <w:rPr>
          <w:rFonts w:ascii="Baskerville Old Face" w:hAnsi="Baskerville Old Face"/>
          <w:sz w:val="24"/>
          <w:szCs w:val="24"/>
        </w:rPr>
        <w:t xml:space="preserve">lla Corte di giustizia </w:t>
      </w:r>
      <w:r w:rsidR="00E362DB" w:rsidRPr="00C901C3">
        <w:rPr>
          <w:rFonts w:ascii="Baskerville Old Face" w:eastAsiaTheme="majorEastAsia" w:hAnsi="Baskerville Old Face" w:cs="Times New Roman"/>
          <w:sz w:val="24"/>
          <w:szCs w:val="24"/>
          <w:lang w:eastAsia="it-IT"/>
        </w:rPr>
        <w:t>ex art. 267 TFUE da parte dei giudici degli Stati membri</w:t>
      </w:r>
      <w:r w:rsidR="00581CBC" w:rsidRPr="00C901C3">
        <w:rPr>
          <w:rStyle w:val="Rimandonotaapidipagina"/>
          <w:rFonts w:ascii="Baskerville Old Face" w:hAnsi="Baskerville Old Face"/>
          <w:sz w:val="24"/>
          <w:szCs w:val="24"/>
        </w:rPr>
        <w:footnoteReference w:id="4"/>
      </w:r>
      <w:r w:rsidR="00E362DB" w:rsidRPr="00C901C3">
        <w:rPr>
          <w:rFonts w:ascii="Baskerville Old Face" w:eastAsiaTheme="majorEastAsia" w:hAnsi="Baskerville Old Face" w:cs="Times New Roman"/>
          <w:sz w:val="24"/>
          <w:szCs w:val="24"/>
          <w:lang w:eastAsia="it-IT"/>
        </w:rPr>
        <w:t xml:space="preserve">. </w:t>
      </w:r>
    </w:p>
    <w:p w:rsidR="00CF615E" w:rsidRPr="00C901C3" w:rsidRDefault="00CF615E" w:rsidP="0056628A">
      <w:pPr>
        <w:spacing w:after="0" w:line="480" w:lineRule="auto"/>
        <w:ind w:right="-1"/>
        <w:jc w:val="both"/>
        <w:rPr>
          <w:rFonts w:ascii="Baskerville Old Face" w:hAnsi="Baskerville Old Face" w:cs="Times New Roman"/>
          <w:sz w:val="24"/>
          <w:szCs w:val="24"/>
        </w:rPr>
      </w:pPr>
    </w:p>
    <w:p w:rsidR="00CF615E" w:rsidRPr="00C901C3" w:rsidRDefault="00CF615E" w:rsidP="0056628A">
      <w:pPr>
        <w:pStyle w:val="Paragrafoelenco"/>
        <w:numPr>
          <w:ilvl w:val="0"/>
          <w:numId w:val="1"/>
        </w:numPr>
        <w:spacing w:after="0" w:line="480" w:lineRule="auto"/>
        <w:ind w:right="-1"/>
        <w:jc w:val="both"/>
        <w:rPr>
          <w:rFonts w:ascii="Baskerville Old Face" w:hAnsi="Baskerville Old Face"/>
          <w:b/>
          <w:sz w:val="24"/>
          <w:szCs w:val="24"/>
        </w:rPr>
      </w:pPr>
      <w:r w:rsidRPr="00C901C3">
        <w:rPr>
          <w:rFonts w:ascii="Baskerville Old Face" w:hAnsi="Baskerville Old Face"/>
          <w:b/>
          <w:sz w:val="24"/>
          <w:szCs w:val="24"/>
        </w:rPr>
        <w:t xml:space="preserve">Focus su singoli </w:t>
      </w:r>
      <w:r w:rsidR="00A2793A" w:rsidRPr="00C901C3">
        <w:rPr>
          <w:rFonts w:ascii="Baskerville Old Face" w:hAnsi="Baskerville Old Face"/>
          <w:b/>
          <w:sz w:val="24"/>
          <w:szCs w:val="24"/>
        </w:rPr>
        <w:t xml:space="preserve">recenti </w:t>
      </w:r>
      <w:r w:rsidRPr="00C901C3">
        <w:rPr>
          <w:rFonts w:ascii="Baskerville Old Face" w:hAnsi="Baskerville Old Face"/>
          <w:b/>
          <w:sz w:val="24"/>
          <w:szCs w:val="24"/>
        </w:rPr>
        <w:t xml:space="preserve">interventi in settori </w:t>
      </w:r>
      <w:r w:rsidR="00A2793A" w:rsidRPr="00C901C3">
        <w:rPr>
          <w:rFonts w:ascii="Baskerville Old Face" w:hAnsi="Baskerville Old Face"/>
          <w:b/>
          <w:sz w:val="24"/>
          <w:szCs w:val="24"/>
        </w:rPr>
        <w:t>potenzialmente oggetto di</w:t>
      </w:r>
      <w:r w:rsidRPr="00C901C3">
        <w:rPr>
          <w:rFonts w:ascii="Baskerville Old Face" w:hAnsi="Baskerville Old Face"/>
          <w:b/>
          <w:sz w:val="24"/>
          <w:szCs w:val="24"/>
        </w:rPr>
        <w:t xml:space="preserve"> procedure di infrazione </w:t>
      </w:r>
    </w:p>
    <w:p w:rsidR="00363C37" w:rsidRDefault="00713D07" w:rsidP="00363C37">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 xml:space="preserve">Nell’ultimo anno di riferimento, l’Autorità ha continuato a svolgere un importante ruolo di supporto, </w:t>
      </w:r>
      <w:r w:rsidR="003E56ED">
        <w:rPr>
          <w:rFonts w:ascii="Baskerville Old Face" w:hAnsi="Baskerville Old Face" w:cs="Times New Roman"/>
          <w:sz w:val="24"/>
          <w:szCs w:val="24"/>
        </w:rPr>
        <w:t>segnal</w:t>
      </w:r>
      <w:r w:rsidRPr="00C901C3">
        <w:rPr>
          <w:rFonts w:ascii="Baskerville Old Face" w:hAnsi="Baskerville Old Face" w:cs="Times New Roman"/>
          <w:sz w:val="24"/>
          <w:szCs w:val="24"/>
        </w:rPr>
        <w:t xml:space="preserve">ando </w:t>
      </w:r>
      <w:r w:rsidR="003E56ED">
        <w:rPr>
          <w:rFonts w:ascii="Baskerville Old Face" w:hAnsi="Baskerville Old Face" w:cs="Times New Roman"/>
          <w:sz w:val="24"/>
          <w:szCs w:val="24"/>
        </w:rPr>
        <w:t>al</w:t>
      </w:r>
      <w:r w:rsidRPr="00C901C3">
        <w:rPr>
          <w:rFonts w:ascii="Baskerville Old Face" w:hAnsi="Baskerville Old Face" w:cs="Times New Roman"/>
          <w:sz w:val="24"/>
          <w:szCs w:val="24"/>
        </w:rPr>
        <w:t xml:space="preserve"> legislatore l’esigenza di dare corretta attuazione ai principi comunitari di apertura dei mercati. </w:t>
      </w:r>
      <w:r w:rsidR="00363C37" w:rsidRPr="00363C37">
        <w:rPr>
          <w:rFonts w:ascii="Baskerville Old Face" w:hAnsi="Baskerville Old Face" w:cs="Times New Roman"/>
          <w:sz w:val="24"/>
          <w:szCs w:val="24"/>
        </w:rPr>
        <w:t xml:space="preserve">Nel 2022, fino al 13 dicembre, vi sono stati </w:t>
      </w:r>
      <w:r w:rsidR="00363C37" w:rsidRPr="003131EB">
        <w:rPr>
          <w:rFonts w:ascii="Baskerville Old Face" w:hAnsi="Baskerville Old Face" w:cs="Times New Roman"/>
          <w:sz w:val="24"/>
          <w:szCs w:val="24"/>
        </w:rPr>
        <w:t>75 interventi</w:t>
      </w:r>
      <w:r w:rsidR="00363C37" w:rsidRPr="00363C37">
        <w:rPr>
          <w:rFonts w:ascii="Baskerville Old Face" w:hAnsi="Baskerville Old Face" w:cs="Times New Roman"/>
          <w:sz w:val="24"/>
          <w:szCs w:val="24"/>
        </w:rPr>
        <w:t xml:space="preserve">. </w:t>
      </w:r>
      <w:r w:rsidR="00363C37">
        <w:rPr>
          <w:rFonts w:ascii="Baskerville Old Face" w:hAnsi="Baskerville Old Face" w:cs="Times New Roman"/>
          <w:sz w:val="24"/>
          <w:szCs w:val="24"/>
        </w:rPr>
        <w:t>U</w:t>
      </w:r>
      <w:r w:rsidR="00363C37" w:rsidRPr="00363C37">
        <w:rPr>
          <w:rFonts w:ascii="Baskerville Old Face" w:hAnsi="Baskerville Old Face" w:cs="Times New Roman"/>
          <w:sz w:val="24"/>
          <w:szCs w:val="24"/>
        </w:rPr>
        <w:t>n dato quindi in linea con quello del 2021</w:t>
      </w:r>
      <w:r w:rsidR="00363C37" w:rsidRPr="00363C37">
        <w:rPr>
          <w:rStyle w:val="Rimandonotaapidipagina"/>
          <w:rFonts w:ascii="Baskerville Old Face" w:hAnsi="Baskerville Old Face" w:cs="Times New Roman"/>
          <w:sz w:val="24"/>
          <w:szCs w:val="24"/>
        </w:rPr>
        <w:footnoteReference w:id="5"/>
      </w:r>
      <w:r w:rsidR="00363C37">
        <w:rPr>
          <w:rFonts w:ascii="Baskerville Old Face" w:hAnsi="Baskerville Old Face" w:cs="Times New Roman"/>
          <w:sz w:val="24"/>
          <w:szCs w:val="24"/>
        </w:rPr>
        <w:t>.</w:t>
      </w:r>
    </w:p>
    <w:p w:rsidR="00713D07" w:rsidRPr="00C901C3" w:rsidRDefault="00713D07"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Oltre a segnalare in molteplici occasioni il contrasto di disposizioni vigenti con i principi di liberalizzazione contenuti nella Direttiva CE/2006/123 – c.d. direttiva Servizi</w:t>
      </w:r>
      <w:r w:rsidRPr="00C901C3">
        <w:rPr>
          <w:rStyle w:val="Rimandonotaapidipagina"/>
          <w:rFonts w:ascii="Baskerville Old Face" w:hAnsi="Baskerville Old Face" w:cs="Times New Roman"/>
          <w:sz w:val="24"/>
          <w:szCs w:val="24"/>
        </w:rPr>
        <w:footnoteReference w:id="6"/>
      </w:r>
      <w:r w:rsidRPr="00C901C3">
        <w:rPr>
          <w:rFonts w:ascii="Baskerville Old Face" w:hAnsi="Baskerville Old Face" w:cs="Times New Roman"/>
          <w:sz w:val="24"/>
          <w:szCs w:val="24"/>
        </w:rPr>
        <w:t>– particolarmente rilevanti sono stati gli interventi funzionali a evidenziare l’opportunità di introdurre e mettere effettivamente in atto procedure aperte, trasparenti e non discriminatorie ai fini del rilascio di concessioni volte allo sfruttamento di risorse limitate ma essenziali per lo svolgimento di determinate attività produttive</w:t>
      </w:r>
      <w:r w:rsidRPr="00C901C3">
        <w:rPr>
          <w:rStyle w:val="Rimandonotaapidipagina"/>
          <w:rFonts w:ascii="Baskerville Old Face" w:hAnsi="Baskerville Old Face" w:cs="Times New Roman"/>
          <w:sz w:val="24"/>
          <w:szCs w:val="24"/>
        </w:rPr>
        <w:footnoteReference w:id="7"/>
      </w:r>
      <w:r w:rsidRPr="00C901C3">
        <w:rPr>
          <w:rFonts w:ascii="Baskerville Old Face" w:hAnsi="Baskerville Old Face" w:cs="Times New Roman"/>
          <w:sz w:val="24"/>
          <w:szCs w:val="24"/>
        </w:rPr>
        <w:t>.</w:t>
      </w:r>
    </w:p>
    <w:p w:rsidR="005F7F7F" w:rsidRPr="00C901C3" w:rsidRDefault="00C901C3" w:rsidP="0056628A">
      <w:pPr>
        <w:spacing w:after="0" w:line="480" w:lineRule="auto"/>
        <w:ind w:right="-1" w:firstLine="708"/>
        <w:jc w:val="both"/>
        <w:rPr>
          <w:rFonts w:ascii="Baskerville Old Face" w:hAnsi="Baskerville Old Face"/>
          <w:sz w:val="24"/>
          <w:szCs w:val="24"/>
        </w:rPr>
      </w:pPr>
      <w:r w:rsidRPr="00C901C3">
        <w:rPr>
          <w:rFonts w:ascii="Baskerville Old Face" w:hAnsi="Baskerville Old Face"/>
          <w:sz w:val="24"/>
          <w:szCs w:val="24"/>
        </w:rPr>
        <w:t>Oltre ad alcuni casi già noti</w:t>
      </w:r>
      <w:r w:rsidRPr="00C901C3">
        <w:rPr>
          <w:rStyle w:val="Rimandonotaapidipagina"/>
          <w:rFonts w:ascii="Baskerville Old Face" w:hAnsi="Baskerville Old Face"/>
          <w:sz w:val="24"/>
          <w:szCs w:val="24"/>
        </w:rPr>
        <w:footnoteReference w:id="8"/>
      </w:r>
      <w:r w:rsidRPr="00C901C3">
        <w:rPr>
          <w:rFonts w:ascii="Baskerville Old Face" w:hAnsi="Baskerville Old Face"/>
          <w:sz w:val="24"/>
          <w:szCs w:val="24"/>
        </w:rPr>
        <w:t>, v</w:t>
      </w:r>
      <w:r w:rsidR="00F3678C" w:rsidRPr="00C901C3">
        <w:rPr>
          <w:rFonts w:ascii="Baskerville Old Face" w:hAnsi="Baskerville Old Face"/>
          <w:sz w:val="24"/>
          <w:szCs w:val="24"/>
        </w:rPr>
        <w:t xml:space="preserve">i sono </w:t>
      </w:r>
      <w:r w:rsidR="00A519F1" w:rsidRPr="00C901C3">
        <w:rPr>
          <w:rFonts w:ascii="Baskerville Old Face" w:hAnsi="Baskerville Old Face"/>
          <w:sz w:val="24"/>
          <w:szCs w:val="24"/>
        </w:rPr>
        <w:t>tre</w:t>
      </w:r>
      <w:r w:rsidR="00F17E71" w:rsidRPr="00C901C3">
        <w:rPr>
          <w:rFonts w:ascii="Baskerville Old Face" w:hAnsi="Baskerville Old Face"/>
          <w:sz w:val="24"/>
          <w:szCs w:val="24"/>
        </w:rPr>
        <w:t xml:space="preserve"> interventi </w:t>
      </w:r>
      <w:r w:rsidR="00F3678C" w:rsidRPr="00C901C3">
        <w:rPr>
          <w:rFonts w:ascii="Baskerville Old Face" w:hAnsi="Baskerville Old Face"/>
          <w:sz w:val="24"/>
          <w:szCs w:val="24"/>
        </w:rPr>
        <w:t xml:space="preserve">di </w:t>
      </w:r>
      <w:r w:rsidR="00F3678C" w:rsidRPr="00C901C3">
        <w:rPr>
          <w:rFonts w:ascii="Baskerville Old Face" w:hAnsi="Baskerville Old Face"/>
          <w:i/>
          <w:sz w:val="24"/>
          <w:szCs w:val="24"/>
        </w:rPr>
        <w:t>advocacy</w:t>
      </w:r>
      <w:r w:rsidR="00F3678C" w:rsidRPr="00C901C3">
        <w:rPr>
          <w:rFonts w:ascii="Baskerville Old Face" w:hAnsi="Baskerville Old Face"/>
          <w:sz w:val="24"/>
          <w:szCs w:val="24"/>
        </w:rPr>
        <w:t xml:space="preserve"> </w:t>
      </w:r>
      <w:r w:rsidR="00CF615E" w:rsidRPr="00C901C3">
        <w:rPr>
          <w:rFonts w:ascii="Baskerville Old Face" w:hAnsi="Baskerville Old Face"/>
          <w:sz w:val="24"/>
          <w:szCs w:val="24"/>
        </w:rPr>
        <w:t>che</w:t>
      </w:r>
      <w:r w:rsidR="00F3678C" w:rsidRPr="00C901C3">
        <w:rPr>
          <w:rFonts w:ascii="Baskerville Old Face" w:hAnsi="Baskerville Old Face"/>
          <w:sz w:val="24"/>
          <w:szCs w:val="24"/>
        </w:rPr>
        <w:t>, a mio avviso,</w:t>
      </w:r>
      <w:r w:rsidR="00CF615E" w:rsidRPr="00C901C3">
        <w:rPr>
          <w:rFonts w:ascii="Baskerville Old Face" w:hAnsi="Baskerville Old Face"/>
          <w:sz w:val="24"/>
          <w:szCs w:val="24"/>
        </w:rPr>
        <w:t xml:space="preserve"> </w:t>
      </w:r>
      <w:r w:rsidR="00F3678C" w:rsidRPr="00C901C3">
        <w:rPr>
          <w:rFonts w:ascii="Baskerville Old Face" w:hAnsi="Baskerville Old Face"/>
          <w:sz w:val="24"/>
          <w:szCs w:val="24"/>
        </w:rPr>
        <w:t xml:space="preserve">mettono bene </w:t>
      </w:r>
      <w:r w:rsidR="00CF615E" w:rsidRPr="00C901C3">
        <w:rPr>
          <w:rFonts w:ascii="Baskerville Old Face" w:hAnsi="Baskerville Old Face"/>
          <w:sz w:val="24"/>
          <w:szCs w:val="24"/>
        </w:rPr>
        <w:t xml:space="preserve">in rilievo la possibile complementarietà </w:t>
      </w:r>
      <w:r w:rsidR="009E74F4" w:rsidRPr="00C901C3">
        <w:rPr>
          <w:rFonts w:ascii="Baskerville Old Face" w:hAnsi="Baskerville Old Face"/>
          <w:sz w:val="24"/>
          <w:szCs w:val="24"/>
        </w:rPr>
        <w:t>delle iniziative dell’Autorità</w:t>
      </w:r>
      <w:r w:rsidR="00CF615E" w:rsidRPr="00C901C3">
        <w:rPr>
          <w:rFonts w:ascii="Baskerville Old Face" w:hAnsi="Baskerville Old Face"/>
          <w:sz w:val="24"/>
          <w:szCs w:val="24"/>
        </w:rPr>
        <w:t xml:space="preserve"> nella prevenzione e soluzione delle procedure di infrazione</w:t>
      </w:r>
      <w:r w:rsidRPr="00C901C3">
        <w:rPr>
          <w:rFonts w:ascii="Baskerville Old Face" w:hAnsi="Baskerville Old Face"/>
          <w:sz w:val="24"/>
          <w:szCs w:val="24"/>
        </w:rPr>
        <w:t>. Essi hanno riguardato</w:t>
      </w:r>
      <w:r w:rsidR="00CF615E" w:rsidRPr="00C901C3">
        <w:rPr>
          <w:rFonts w:ascii="Baskerville Old Face" w:hAnsi="Baskerville Old Face"/>
          <w:sz w:val="24"/>
          <w:szCs w:val="24"/>
        </w:rPr>
        <w:t xml:space="preserve">: </w:t>
      </w:r>
    </w:p>
    <w:p w:rsidR="0056628A" w:rsidRPr="00C901C3" w:rsidRDefault="0056628A" w:rsidP="0056628A">
      <w:pPr>
        <w:pStyle w:val="Paragrafoelenco"/>
        <w:numPr>
          <w:ilvl w:val="0"/>
          <w:numId w:val="3"/>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lastRenderedPageBreak/>
        <w:t xml:space="preserve">i criteri di gestione del servizio idrico integrato; </w:t>
      </w:r>
    </w:p>
    <w:p w:rsidR="005F7F7F" w:rsidRPr="00C901C3" w:rsidRDefault="00C70E9B" w:rsidP="0056628A">
      <w:pPr>
        <w:pStyle w:val="Paragrafoelenco"/>
        <w:numPr>
          <w:ilvl w:val="0"/>
          <w:numId w:val="3"/>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t>i criteri di gestione dell’affidamento in concessione delle acque minerali e di determinazione dei canoni concessori</w:t>
      </w:r>
      <w:r w:rsidR="00CF615E" w:rsidRPr="00C901C3">
        <w:rPr>
          <w:rFonts w:ascii="Baskerville Old Face" w:hAnsi="Baskerville Old Face"/>
          <w:sz w:val="24"/>
          <w:szCs w:val="24"/>
        </w:rPr>
        <w:t xml:space="preserve">; </w:t>
      </w:r>
    </w:p>
    <w:p w:rsidR="00FA5401" w:rsidRPr="00C901C3" w:rsidRDefault="00FA5401" w:rsidP="0056628A">
      <w:pPr>
        <w:pStyle w:val="Paragrafoelenco"/>
        <w:numPr>
          <w:ilvl w:val="0"/>
          <w:numId w:val="3"/>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t>la pubblicità sanitaria</w:t>
      </w:r>
      <w:r w:rsidR="00D37331" w:rsidRPr="00C901C3">
        <w:rPr>
          <w:rFonts w:ascii="Baskerville Old Face" w:hAnsi="Baskerville Old Face"/>
          <w:sz w:val="24"/>
          <w:szCs w:val="24"/>
        </w:rPr>
        <w:t>.</w:t>
      </w:r>
    </w:p>
    <w:p w:rsidR="0056628A" w:rsidRPr="00C901C3" w:rsidRDefault="0056628A" w:rsidP="0056628A">
      <w:pPr>
        <w:spacing w:after="0" w:line="480" w:lineRule="auto"/>
        <w:ind w:right="-1"/>
        <w:jc w:val="both"/>
        <w:rPr>
          <w:rFonts w:ascii="Baskerville Old Face" w:hAnsi="Baskerville Old Face"/>
          <w:b/>
          <w:i/>
          <w:sz w:val="24"/>
          <w:szCs w:val="24"/>
        </w:rPr>
      </w:pPr>
    </w:p>
    <w:p w:rsidR="0056628A" w:rsidRPr="00C901C3" w:rsidRDefault="0056628A" w:rsidP="0056628A">
      <w:pPr>
        <w:spacing w:after="0" w:line="480" w:lineRule="auto"/>
        <w:ind w:right="-1"/>
        <w:jc w:val="both"/>
        <w:rPr>
          <w:rFonts w:ascii="Baskerville Old Face" w:hAnsi="Baskerville Old Face" w:cs="Times New Roman"/>
          <w:b/>
          <w:i/>
          <w:sz w:val="24"/>
          <w:szCs w:val="24"/>
        </w:rPr>
      </w:pPr>
      <w:r w:rsidRPr="00C901C3">
        <w:rPr>
          <w:rFonts w:ascii="Baskerville Old Face" w:hAnsi="Baskerville Old Face"/>
          <w:b/>
          <w:i/>
          <w:sz w:val="24"/>
          <w:szCs w:val="24"/>
        </w:rPr>
        <w:t>I criteri di gestione del servizio idrico integrato ai fini della legge annuale per il mercato e la concorrenza anno 2022.</w:t>
      </w:r>
    </w:p>
    <w:p w:rsidR="0056628A" w:rsidRPr="00C901C3" w:rsidRDefault="0056628A"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 xml:space="preserve">Tra le varie proposte che sono state presentate </w:t>
      </w:r>
      <w:r w:rsidRPr="00C901C3">
        <w:rPr>
          <w:rFonts w:ascii="Baskerville Old Face" w:hAnsi="Baskerville Old Face"/>
          <w:sz w:val="24"/>
          <w:szCs w:val="24"/>
        </w:rPr>
        <w:t xml:space="preserve">di riforma concorrenziale relativamente ai settori dell’energia elettrica e del servizio idrico integrato ai fini della legge annuale per il mercato e la concorrenza anno 2022 </w:t>
      </w:r>
      <w:r w:rsidR="00F3678C" w:rsidRPr="00C901C3">
        <w:rPr>
          <w:rFonts w:ascii="Baskerville Old Face" w:hAnsi="Baskerville Old Face" w:cs="Times New Roman"/>
          <w:sz w:val="24"/>
          <w:szCs w:val="24"/>
        </w:rPr>
        <w:t xml:space="preserve">si segnalano </w:t>
      </w:r>
      <w:r w:rsidRPr="00C901C3">
        <w:rPr>
          <w:rFonts w:ascii="Baskerville Old Face" w:hAnsi="Baskerville Old Face" w:cs="Times New Roman"/>
          <w:sz w:val="24"/>
          <w:szCs w:val="24"/>
        </w:rPr>
        <w:t xml:space="preserve">quelle in materia di completamento della </w:t>
      </w:r>
      <w:r w:rsidRPr="00C901C3">
        <w:rPr>
          <w:rFonts w:ascii="Baskerville Old Face" w:hAnsi="Baskerville Old Face" w:cs="Times New Roman"/>
          <w:i/>
          <w:sz w:val="24"/>
          <w:szCs w:val="24"/>
        </w:rPr>
        <w:t>governance</w:t>
      </w:r>
      <w:r w:rsidRPr="00C901C3">
        <w:rPr>
          <w:rFonts w:ascii="Baskerville Old Face" w:hAnsi="Baskerville Old Face" w:cs="Times New Roman"/>
          <w:sz w:val="24"/>
          <w:szCs w:val="24"/>
        </w:rPr>
        <w:t xml:space="preserve"> delle gestioni idriche integrate</w:t>
      </w:r>
      <w:r w:rsidR="00A4604D" w:rsidRPr="00C901C3">
        <w:rPr>
          <w:rStyle w:val="Rimandonotaapidipagina"/>
          <w:rFonts w:ascii="Baskerville Old Face" w:hAnsi="Baskerville Old Face" w:cs="Times New Roman"/>
          <w:sz w:val="24"/>
          <w:szCs w:val="24"/>
        </w:rPr>
        <w:footnoteReference w:id="9"/>
      </w:r>
      <w:r w:rsidRPr="00C901C3">
        <w:rPr>
          <w:rFonts w:ascii="Baskerville Old Face" w:hAnsi="Baskerville Old Face" w:cs="Times New Roman"/>
          <w:sz w:val="24"/>
          <w:szCs w:val="24"/>
        </w:rPr>
        <w:t xml:space="preserve">. In effetti pur </w:t>
      </w:r>
      <w:r w:rsidRPr="00C901C3">
        <w:rPr>
          <w:rFonts w:ascii="Baskerville Old Face" w:hAnsi="Baskerville Old Face"/>
          <w:sz w:val="24"/>
          <w:szCs w:val="24"/>
        </w:rPr>
        <w:t>sostanzialmente completata, sebbene con ritardo, la fase di costituzione degli Enti di Governo d’Ambito idrico (EGA), in alcune importanti aree del Paese si perpetuano gravi inefficienze in termini di perdite di rete, servizi scadenti all’utenza, bollette non riscosse, servizi di depurazione e fognatura che l’Autorità ha ritenuto non conformi alla normativa europea</w:t>
      </w:r>
      <w:r w:rsidR="00C901C3" w:rsidRPr="00C901C3">
        <w:rPr>
          <w:rStyle w:val="Rimandonotaapidipagina"/>
          <w:rFonts w:ascii="Baskerville Old Face" w:hAnsi="Baskerville Old Face"/>
          <w:sz w:val="24"/>
          <w:szCs w:val="24"/>
        </w:rPr>
        <w:footnoteReference w:id="10"/>
      </w:r>
      <w:r w:rsidRPr="00C901C3">
        <w:rPr>
          <w:rFonts w:ascii="Baskerville Old Face" w:hAnsi="Baskerville Old Face"/>
          <w:sz w:val="24"/>
          <w:szCs w:val="24"/>
        </w:rPr>
        <w:t>.</w:t>
      </w:r>
    </w:p>
    <w:p w:rsidR="00F3678C" w:rsidRPr="00C901C3" w:rsidRDefault="0056628A" w:rsidP="0056628A">
      <w:pPr>
        <w:spacing w:after="0" w:line="480" w:lineRule="auto"/>
        <w:ind w:right="-1" w:firstLine="708"/>
        <w:jc w:val="both"/>
        <w:rPr>
          <w:rFonts w:ascii="Baskerville Old Face" w:hAnsi="Baskerville Old Face"/>
          <w:sz w:val="24"/>
          <w:szCs w:val="24"/>
        </w:rPr>
      </w:pPr>
      <w:r w:rsidRPr="00C901C3">
        <w:rPr>
          <w:rFonts w:ascii="Baskerville Old Face" w:hAnsi="Baskerville Old Face"/>
          <w:sz w:val="24"/>
          <w:szCs w:val="24"/>
        </w:rPr>
        <w:t xml:space="preserve">Al fine di evitare che gli EGA che non hanno ancora completato il percorso di definizione della governance del servizio idrico integrato negli ambiti territoriali individuati - o che vi sono giunti di recente ma in un contesto provvisorio, ancora non pienamente operativo e in situazione di grande frammentazione delle gestioni - possano perdere l’occasione di ottenere i fondi europei del PNRR, l’Autorità ha quindi auspicato che si debba: </w:t>
      </w:r>
    </w:p>
    <w:p w:rsidR="00F3678C" w:rsidRPr="00C901C3" w:rsidRDefault="0056628A" w:rsidP="00F3678C">
      <w:pPr>
        <w:pStyle w:val="Paragrafoelenco"/>
        <w:numPr>
          <w:ilvl w:val="0"/>
          <w:numId w:val="4"/>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t xml:space="preserve">fissare un termine inderogabile e molto ravvicinato per l’individuazione del gestore unico d’ambito da parte degli EGA che non vi abbiano ad oggi proceduto; </w:t>
      </w:r>
    </w:p>
    <w:p w:rsidR="00F3678C" w:rsidRPr="00C901C3" w:rsidRDefault="0056628A" w:rsidP="00F3678C">
      <w:pPr>
        <w:pStyle w:val="Paragrafoelenco"/>
        <w:numPr>
          <w:ilvl w:val="0"/>
          <w:numId w:val="4"/>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lastRenderedPageBreak/>
        <w:t xml:space="preserve">prevedere un meccanismo di poteri sostitutivi diverso rispetto a quanto previsto all’articolo 172, comma 4, del Testo Unico Ambientale consentendo, in caso di mancato adempimento nel termine di cui sopra, a soggetti pubblici statali di partecipare (al posto degli EGA inadempienti) all’assegnazione dei fondi PNRR, avvalendosi di soggetti industriali dotati di capacità operative e di solidità finanziaria, in possesso dei requisiti richiesti dai bandi di gara, selezionati con procedure competitive semplificate; </w:t>
      </w:r>
    </w:p>
    <w:p w:rsidR="0056628A" w:rsidRPr="00C901C3" w:rsidRDefault="0056628A" w:rsidP="00F3678C">
      <w:pPr>
        <w:pStyle w:val="Paragrafoelenco"/>
        <w:numPr>
          <w:ilvl w:val="0"/>
          <w:numId w:val="4"/>
        </w:numPr>
        <w:spacing w:after="0" w:line="480" w:lineRule="auto"/>
        <w:ind w:right="-1"/>
        <w:jc w:val="both"/>
        <w:rPr>
          <w:rFonts w:ascii="Baskerville Old Face" w:hAnsi="Baskerville Old Face"/>
          <w:sz w:val="24"/>
          <w:szCs w:val="24"/>
        </w:rPr>
      </w:pPr>
      <w:r w:rsidRPr="00C901C3">
        <w:rPr>
          <w:rFonts w:ascii="Baskerville Old Face" w:hAnsi="Baskerville Old Face"/>
          <w:sz w:val="24"/>
          <w:szCs w:val="24"/>
        </w:rPr>
        <w:t>incaricare soggetti industriali dotati di adeguate capacità operative e finanziarie di realizzare gli interventi di cui al Piano d’Ambito o comunque urgenti e di gestire in via transitoria il servizio idrico integrato fino all’individuazione e all’operatività di un gestore unico locale con le competenze e la solidità economico-finanziaria in grado di subentrare nello svolgimento dell’attività a regime.</w:t>
      </w:r>
    </w:p>
    <w:p w:rsidR="0056628A" w:rsidRPr="00C901C3" w:rsidRDefault="0056628A" w:rsidP="0056628A">
      <w:pPr>
        <w:spacing w:after="0" w:line="480" w:lineRule="auto"/>
        <w:ind w:right="-1"/>
        <w:jc w:val="both"/>
        <w:rPr>
          <w:rFonts w:ascii="Baskerville Old Face" w:hAnsi="Baskerville Old Face"/>
          <w:sz w:val="24"/>
          <w:szCs w:val="24"/>
        </w:rPr>
      </w:pPr>
    </w:p>
    <w:p w:rsidR="005F7F7F" w:rsidRPr="00C901C3" w:rsidRDefault="00A2793A" w:rsidP="0056628A">
      <w:pPr>
        <w:spacing w:after="0" w:line="480" w:lineRule="auto"/>
        <w:ind w:right="-1"/>
        <w:jc w:val="both"/>
        <w:rPr>
          <w:rFonts w:ascii="Baskerville Old Face" w:hAnsi="Baskerville Old Face" w:cs="Times New Roman"/>
          <w:b/>
          <w:i/>
          <w:sz w:val="24"/>
          <w:szCs w:val="24"/>
        </w:rPr>
      </w:pPr>
      <w:r w:rsidRPr="00C901C3">
        <w:rPr>
          <w:rFonts w:ascii="Baskerville Old Face" w:hAnsi="Baskerville Old Face"/>
          <w:b/>
          <w:i/>
          <w:sz w:val="24"/>
          <w:szCs w:val="24"/>
        </w:rPr>
        <w:t>I criteri di gestione dell’affidamento in concessione delle acque minerali e di determinazione dei canoni concessori.</w:t>
      </w:r>
    </w:p>
    <w:p w:rsidR="00A2793A" w:rsidRPr="00C901C3" w:rsidRDefault="00A2793A" w:rsidP="0056628A">
      <w:pPr>
        <w:spacing w:after="0" w:line="480" w:lineRule="auto"/>
        <w:ind w:right="-1" w:firstLine="708"/>
        <w:jc w:val="both"/>
        <w:rPr>
          <w:rFonts w:ascii="Baskerville Old Face" w:hAnsi="Baskerville Old Face"/>
          <w:sz w:val="24"/>
          <w:szCs w:val="24"/>
        </w:rPr>
      </w:pPr>
      <w:r w:rsidRPr="00C901C3">
        <w:rPr>
          <w:rFonts w:ascii="Baskerville Old Face" w:hAnsi="Baskerville Old Face"/>
          <w:sz w:val="24"/>
          <w:szCs w:val="24"/>
        </w:rPr>
        <w:t>È noto</w:t>
      </w:r>
      <w:r w:rsidR="003C6B45" w:rsidRPr="00C901C3">
        <w:rPr>
          <w:rFonts w:ascii="Baskerville Old Face" w:hAnsi="Baskerville Old Face"/>
          <w:sz w:val="24"/>
          <w:szCs w:val="24"/>
        </w:rPr>
        <w:t xml:space="preserve"> </w:t>
      </w:r>
      <w:r w:rsidRPr="00C901C3">
        <w:rPr>
          <w:rFonts w:ascii="Baskerville Old Face" w:hAnsi="Baskerville Old Face"/>
          <w:sz w:val="24"/>
          <w:szCs w:val="24"/>
        </w:rPr>
        <w:t>come l’impianto normativo comunitario e, conseguentemente, quello nazionale siano oramai decisamente improntati ad affermare, in ossequio ai principi del mercato comune di cui al Trattato UE</w:t>
      </w:r>
      <w:r w:rsidRPr="00C901C3">
        <w:rPr>
          <w:rStyle w:val="Rimandonotaapidipagina"/>
          <w:rFonts w:ascii="Baskerville Old Face" w:hAnsi="Baskerville Old Face"/>
          <w:sz w:val="24"/>
          <w:szCs w:val="24"/>
        </w:rPr>
        <w:footnoteReference w:id="11"/>
      </w:r>
      <w:r w:rsidRPr="00C901C3">
        <w:rPr>
          <w:rFonts w:ascii="Baskerville Old Face" w:hAnsi="Baskerville Old Face"/>
          <w:sz w:val="24"/>
          <w:szCs w:val="24"/>
        </w:rPr>
        <w:t>, la necessità del ricorso alle procedure ad evidenza pubblica quale regola per la prestazione di servizi nel mercato interno</w:t>
      </w:r>
      <w:r w:rsidRPr="00C901C3">
        <w:rPr>
          <w:rStyle w:val="Rimandonotaapidipagina"/>
          <w:rFonts w:ascii="Baskerville Old Face" w:hAnsi="Baskerville Old Face"/>
          <w:sz w:val="24"/>
          <w:szCs w:val="24"/>
        </w:rPr>
        <w:footnoteReference w:id="12"/>
      </w:r>
      <w:r w:rsidRPr="00C901C3">
        <w:rPr>
          <w:rFonts w:ascii="Baskerville Old Face" w:hAnsi="Baskerville Old Face"/>
          <w:sz w:val="24"/>
          <w:szCs w:val="24"/>
        </w:rPr>
        <w:t>, nonché per l’approvvigionamento di beni, servizi e lavori e per l’affidamento di concessioni di servizi e lavori pubblici da parte delle Amministrazioni</w:t>
      </w:r>
      <w:r w:rsidR="003C6B45" w:rsidRPr="00C901C3">
        <w:rPr>
          <w:rStyle w:val="Rimandonotaapidipagina"/>
          <w:rFonts w:ascii="Baskerville Old Face" w:hAnsi="Baskerville Old Face"/>
          <w:sz w:val="24"/>
          <w:szCs w:val="24"/>
        </w:rPr>
        <w:footnoteReference w:id="13"/>
      </w:r>
      <w:r w:rsidRPr="00C901C3">
        <w:rPr>
          <w:rFonts w:ascii="Baskerville Old Face" w:hAnsi="Baskerville Old Face"/>
          <w:sz w:val="24"/>
          <w:szCs w:val="24"/>
        </w:rPr>
        <w:t xml:space="preserve">. Per ciò che concerne la concessione per l’estrazione e lo sfruttamento delle acque minerali non si rinviene una norma, comunitaria o nazionale, che disponga, in maniera espressa, l’obbligo del ricorso a procedure </w:t>
      </w:r>
      <w:r w:rsidRPr="00C901C3">
        <w:rPr>
          <w:rFonts w:ascii="Baskerville Old Face" w:hAnsi="Baskerville Old Face"/>
          <w:sz w:val="24"/>
          <w:szCs w:val="24"/>
        </w:rPr>
        <w:lastRenderedPageBreak/>
        <w:t xml:space="preserve">ad evidenza pubblica per l’individuazione del concessionario da parte dell’Amministrazione. Tuttavia, alla luce dei principi comunitari sul mercato comune sopra richiamati, l’Autorità, nell’esercizio della propria attività di </w:t>
      </w:r>
      <w:r w:rsidRPr="00C901C3">
        <w:rPr>
          <w:rFonts w:ascii="Baskerville Old Face" w:hAnsi="Baskerville Old Face"/>
          <w:i/>
          <w:sz w:val="24"/>
          <w:szCs w:val="24"/>
        </w:rPr>
        <w:t>advocacy</w:t>
      </w:r>
      <w:r w:rsidRPr="00C901C3">
        <w:rPr>
          <w:rFonts w:ascii="Baskerville Old Face" w:hAnsi="Baskerville Old Face"/>
          <w:sz w:val="24"/>
          <w:szCs w:val="24"/>
        </w:rPr>
        <w:t xml:space="preserve">, con riferimento alle concessioni demaniali idriche per l’imbottigliamento di acque minerali, ha già </w:t>
      </w:r>
      <w:r w:rsidR="0056628A" w:rsidRPr="00C901C3">
        <w:rPr>
          <w:rFonts w:ascii="Baskerville Old Face" w:hAnsi="Baskerville Old Face"/>
          <w:sz w:val="24"/>
          <w:szCs w:val="24"/>
        </w:rPr>
        <w:t xml:space="preserve">da tempo </w:t>
      </w:r>
      <w:r w:rsidRPr="00C901C3">
        <w:rPr>
          <w:rFonts w:ascii="Baskerville Old Face" w:hAnsi="Baskerville Old Face"/>
          <w:sz w:val="24"/>
          <w:szCs w:val="24"/>
        </w:rPr>
        <w:t>evidenziato come la scelta del concessionario debba comunque avvenire tramite procedure ad evidenza pubblica, tali da garantire trasparenza, imparzialità, parità di trattamento, non discriminazione, pubblicità, proporzionalità, economicità ed efficacia</w:t>
      </w:r>
      <w:r w:rsidR="003C6B45" w:rsidRPr="00C901C3">
        <w:rPr>
          <w:rStyle w:val="Rimandonotaapidipagina"/>
          <w:rFonts w:ascii="Baskerville Old Face" w:hAnsi="Baskerville Old Face"/>
          <w:sz w:val="24"/>
          <w:szCs w:val="24"/>
        </w:rPr>
        <w:footnoteReference w:id="14"/>
      </w:r>
      <w:r w:rsidR="003C6B45" w:rsidRPr="00C901C3">
        <w:rPr>
          <w:rFonts w:ascii="Baskerville Old Face" w:hAnsi="Baskerville Old Face"/>
          <w:sz w:val="24"/>
          <w:szCs w:val="24"/>
        </w:rPr>
        <w:t>.</w:t>
      </w:r>
    </w:p>
    <w:p w:rsidR="003C6B45" w:rsidRPr="00C901C3" w:rsidRDefault="003C6B45" w:rsidP="0056628A">
      <w:pPr>
        <w:spacing w:after="0" w:line="480" w:lineRule="auto"/>
        <w:ind w:right="-1" w:firstLine="708"/>
        <w:jc w:val="both"/>
        <w:rPr>
          <w:rFonts w:ascii="Baskerville Old Face" w:hAnsi="Baskerville Old Face" w:cs="Times New Roman"/>
          <w:i/>
          <w:sz w:val="24"/>
          <w:szCs w:val="24"/>
        </w:rPr>
      </w:pPr>
      <w:r w:rsidRPr="00C901C3">
        <w:rPr>
          <w:rFonts w:ascii="Baskerville Old Face" w:hAnsi="Baskerville Old Face"/>
          <w:sz w:val="24"/>
          <w:szCs w:val="24"/>
        </w:rPr>
        <w:t>Sulla materia si è espressa, più volte, anche la Corte Costituzionale, affermando che “</w:t>
      </w:r>
      <w:r w:rsidRPr="00C901C3">
        <w:rPr>
          <w:rFonts w:ascii="Baskerville Old Face" w:hAnsi="Baskerville Old Face"/>
          <w:i/>
          <w:sz w:val="24"/>
          <w:szCs w:val="24"/>
        </w:rPr>
        <w:t>l’attività di sfruttamento delle acque minerali […] ricade nel campo applicativo della direttiva 2006/123/CE, attuata con il decreto legislativo 26 marzo 2010, n. 59 […] Al fine di garantire la libera circolazione dei servizi e l’apertura del mercato a una concorrenza non falsata e più ampia possibile negli Stati membri, l’articolo 12 della direttiva da ultimo richiamata prevede l’obbligo per gli stessi di adottare «una procedura di selezione tra i candidati potenziali, che presenti garanzie di imparzialità e</w:t>
      </w:r>
      <w:r w:rsidRPr="00C901C3">
        <w:rPr>
          <w:rFonts w:ascii="Baskerville Old Face" w:hAnsi="Baskerville Old Face"/>
          <w:sz w:val="24"/>
          <w:szCs w:val="24"/>
        </w:rPr>
        <w:t xml:space="preserve"> di trasparenza e preveda, in particolare, un’adeguata pubblicità dell’avvio della procedura e del suo svolgimento e completamento”.</w:t>
      </w:r>
      <w:r w:rsidRPr="00C901C3">
        <w:rPr>
          <w:rStyle w:val="Rimandonotaapidipagina"/>
          <w:rFonts w:ascii="Baskerville Old Face" w:hAnsi="Baskerville Old Face"/>
          <w:sz w:val="24"/>
          <w:szCs w:val="24"/>
        </w:rPr>
        <w:footnoteReference w:id="15"/>
      </w:r>
    </w:p>
    <w:p w:rsidR="00A2793A" w:rsidRPr="00C901C3" w:rsidRDefault="003C6B45"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Recentemente l’Autorità ha formulato osservazioni di carattere generale in merito agli attuali</w:t>
      </w:r>
      <w:r w:rsidR="0056628A" w:rsidRPr="00C901C3">
        <w:rPr>
          <w:rFonts w:ascii="Baskerville Old Face" w:hAnsi="Baskerville Old Face" w:cs="Times New Roman"/>
          <w:sz w:val="24"/>
          <w:szCs w:val="24"/>
        </w:rPr>
        <w:t xml:space="preserve"> </w:t>
      </w:r>
      <w:r w:rsidRPr="00C901C3">
        <w:rPr>
          <w:rFonts w:ascii="Baskerville Old Face" w:hAnsi="Baskerville Old Face" w:cs="Times New Roman"/>
          <w:sz w:val="24"/>
          <w:szCs w:val="24"/>
        </w:rPr>
        <w:t>criteri che regolano la gestione dell’affidamento in concessione delle acque minerali</w:t>
      </w:r>
      <w:r w:rsidR="00A4604D" w:rsidRPr="00C901C3">
        <w:rPr>
          <w:rStyle w:val="Rimandonotaapidipagina"/>
          <w:rFonts w:ascii="Baskerville Old Face" w:hAnsi="Baskerville Old Face" w:cs="Times New Roman"/>
          <w:sz w:val="24"/>
          <w:szCs w:val="24"/>
        </w:rPr>
        <w:footnoteReference w:id="16"/>
      </w:r>
      <w:r w:rsidRPr="00C901C3">
        <w:rPr>
          <w:rFonts w:ascii="Baskerville Old Face" w:hAnsi="Baskerville Old Face" w:cs="Times New Roman"/>
          <w:sz w:val="24"/>
          <w:szCs w:val="24"/>
        </w:rPr>
        <w:t xml:space="preserve">. </w:t>
      </w:r>
      <w:r w:rsidR="003E56ED">
        <w:rPr>
          <w:rFonts w:ascii="Baskerville Old Face" w:hAnsi="Baskerville Old Face"/>
          <w:sz w:val="24"/>
          <w:szCs w:val="24"/>
        </w:rPr>
        <w:t>D</w:t>
      </w:r>
      <w:r w:rsidRPr="00C901C3">
        <w:rPr>
          <w:rFonts w:ascii="Baskerville Old Face" w:hAnsi="Baskerville Old Face"/>
          <w:sz w:val="24"/>
          <w:szCs w:val="24"/>
        </w:rPr>
        <w:t xml:space="preserve">alle indagini condotte dall’Autorità con riferimento alle previsioni normative regionali e alla prassi concretamente utilizzate dalle singole amministrazioni regionali relativamente alle modalità di affidamento delle concessioni, è emerso un panorama estremamente disomogeneo sia con riferimento al ricorso o meno </w:t>
      </w:r>
      <w:r w:rsidRPr="00C901C3">
        <w:rPr>
          <w:rFonts w:ascii="Baskerville Old Face" w:hAnsi="Baskerville Old Face"/>
          <w:sz w:val="24"/>
          <w:szCs w:val="24"/>
        </w:rPr>
        <w:lastRenderedPageBreak/>
        <w:t>a procedure ad evidenza pubblica che ai criteri di aggiudicazione o selezione utilizzati, oltre che in relazione alla durata delle assegnazioni. In particolare in ben 8 regioni (Basilicata, Emilia Romagna, Lombardia, Marche, Molise, Piemonte, Sardegna e Valle D’Aosta) e nella Provincia Autonoma di Bolzano, il ricorso alle procedure ad evidenza pubblica nell’assegnazione delle concessioni non è ancora né previsto dalla normativa regionale, né comunque adottato nella concreta prassi applicativa. Al riguardo vale evidenziare come anche la durata massima prevista delle concessioni, generalmente fissata in 30 anni, sia stata solo in alcuni casi ridotta a 25 o 20 anni (rispettivamente, Umbria e Piemonte), mentre in due regioni si riscontrano addirittura alcuni casi di vigenza di concessioni perpetue (Lombardia e Valle d’Aosta).</w:t>
      </w:r>
    </w:p>
    <w:p w:rsidR="00C7531B" w:rsidRPr="00C901C3" w:rsidRDefault="003C6B45" w:rsidP="00C7531B">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Pertanto si è ritenuto rilevante ribadire che l</w:t>
      </w:r>
      <w:r w:rsidRPr="00C901C3">
        <w:rPr>
          <w:rFonts w:ascii="Baskerville Old Face" w:hAnsi="Baskerville Old Face"/>
          <w:sz w:val="24"/>
          <w:szCs w:val="24"/>
        </w:rPr>
        <w:t>a perdurante opacità dei meccanismi di assegnazione delle concessioni, sia nella fase di primo affidamento che di rinnovo delle stesse, indebolisce - quando non elimina del tutto - la dinamica concorrenziale che dovrebbe caratterizzare la fase a monte della competizione “per il mercato”, riducendo la contendibilità dell’accesso alle fonti di approvvigionamento da parte dei diversi produttori. Inoltre, un corretto utilizzo delle procedure ad evidenza pubblica consentirebbe di basare il confronto competitivo anche sull’importo del canone che i partecipanti sono disposti a versare per ottenere le concessioni stesse, parametrando automaticamente l’importo del canone al loro effettivo “valore”, rappresentato dalla potenzialità di generare reddito.</w:t>
      </w:r>
      <w:r w:rsidR="00C473B8" w:rsidRPr="00C901C3">
        <w:rPr>
          <w:rFonts w:ascii="Baskerville Old Face" w:hAnsi="Baskerville Old Face"/>
          <w:sz w:val="24"/>
          <w:szCs w:val="24"/>
        </w:rPr>
        <w:t xml:space="preserve"> L’auspicio è stato quindi quello di un atto legislativo nazionale che superi il R.D. 1443/1927 che stabilisce i principi in materia</w:t>
      </w:r>
      <w:r w:rsidR="00C473B8" w:rsidRPr="00C901C3">
        <w:rPr>
          <w:rStyle w:val="Rimandonotaapidipagina"/>
          <w:rFonts w:ascii="Baskerville Old Face" w:hAnsi="Baskerville Old Face"/>
          <w:sz w:val="24"/>
          <w:szCs w:val="24"/>
        </w:rPr>
        <w:footnoteReference w:id="17"/>
      </w:r>
      <w:r w:rsidR="00C473B8" w:rsidRPr="00C901C3">
        <w:rPr>
          <w:rFonts w:ascii="Baskerville Old Face" w:hAnsi="Baskerville Old Face"/>
          <w:sz w:val="24"/>
          <w:szCs w:val="24"/>
        </w:rPr>
        <w:t xml:space="preserve"> e che sia volto a dotare le Regioni italiane, pur nel rispetto della loro autonomia in materia, di criteri coerenti e uniformi – oltre che improntati al rispetto dei fondamentali principi di diritto comunitario rinvenibili direttamente nel Trattato UE (libertà di stabilimento, di libera prestazione dei servizi, nonché di par condicio, imparzialità e trasparenza).</w:t>
      </w:r>
    </w:p>
    <w:p w:rsidR="00C7531B" w:rsidRPr="00C901C3" w:rsidRDefault="00C7531B" w:rsidP="00C7531B">
      <w:pPr>
        <w:spacing w:after="0" w:line="480" w:lineRule="auto"/>
        <w:ind w:right="-1"/>
        <w:jc w:val="both"/>
        <w:rPr>
          <w:rFonts w:ascii="Baskerville Old Face" w:hAnsi="Baskerville Old Face"/>
          <w:b/>
          <w:sz w:val="24"/>
          <w:szCs w:val="24"/>
        </w:rPr>
      </w:pPr>
    </w:p>
    <w:p w:rsidR="00C7531B" w:rsidRPr="00C901C3" w:rsidRDefault="00C7531B" w:rsidP="00C7531B">
      <w:pPr>
        <w:spacing w:after="0" w:line="480" w:lineRule="auto"/>
        <w:ind w:right="-1"/>
        <w:jc w:val="both"/>
        <w:rPr>
          <w:rFonts w:ascii="Baskerville Old Face" w:hAnsi="Baskerville Old Face"/>
          <w:b/>
          <w:sz w:val="24"/>
          <w:szCs w:val="24"/>
        </w:rPr>
      </w:pPr>
      <w:r w:rsidRPr="00C901C3">
        <w:rPr>
          <w:rFonts w:ascii="Baskerville Old Face" w:hAnsi="Baskerville Old Face"/>
          <w:b/>
          <w:sz w:val="24"/>
          <w:szCs w:val="24"/>
        </w:rPr>
        <w:lastRenderedPageBreak/>
        <w:t>La pubblicità sanitaria</w:t>
      </w:r>
    </w:p>
    <w:p w:rsidR="00C7531B" w:rsidRPr="00C901C3" w:rsidRDefault="00C7531B" w:rsidP="00C7531B">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sz w:val="24"/>
          <w:szCs w:val="24"/>
        </w:rPr>
        <w:t>Quale esempio di un altro profilo contestato dalla Commissione europea e più volte segnalato dall’Autorità</w:t>
      </w:r>
      <w:r w:rsidRPr="00C901C3">
        <w:rPr>
          <w:rStyle w:val="Rimandonotaapidipagina"/>
          <w:rFonts w:ascii="Baskerville Old Face" w:hAnsi="Baskerville Old Face"/>
          <w:sz w:val="24"/>
          <w:szCs w:val="24"/>
        </w:rPr>
        <w:footnoteReference w:id="18"/>
      </w:r>
      <w:r w:rsidRPr="00C901C3">
        <w:rPr>
          <w:rFonts w:ascii="Baskerville Old Face" w:hAnsi="Baskerville Old Face"/>
          <w:sz w:val="24"/>
          <w:szCs w:val="24"/>
        </w:rPr>
        <w:t xml:space="preserve"> - vi è poi quello della </w:t>
      </w:r>
      <w:r w:rsidRPr="000C7F18">
        <w:rPr>
          <w:rFonts w:ascii="Baskerville Old Face" w:hAnsi="Baskerville Old Face"/>
          <w:sz w:val="24"/>
          <w:szCs w:val="24"/>
        </w:rPr>
        <w:t>pubblicità sanitaria</w:t>
      </w:r>
      <w:r w:rsidRPr="00C901C3">
        <w:rPr>
          <w:rFonts w:ascii="Baskerville Old Face" w:hAnsi="Baskerville Old Face"/>
          <w:sz w:val="24"/>
          <w:szCs w:val="24"/>
        </w:rPr>
        <w:t xml:space="preserve"> – essendo ancora vigenti le restrizioni previste al comma 525 dell’art. 1 della legge n. 145/2018.</w:t>
      </w:r>
      <w:r w:rsidRPr="00C901C3">
        <w:rPr>
          <w:rFonts w:ascii="Baskerville Old Face" w:hAnsi="Baskerville Old Face" w:cs="Times New Roman"/>
          <w:sz w:val="24"/>
          <w:szCs w:val="24"/>
        </w:rPr>
        <w:t xml:space="preserve"> </w:t>
      </w:r>
      <w:r w:rsidRPr="00C901C3">
        <w:rPr>
          <w:rFonts w:ascii="Baskerville Old Face" w:hAnsi="Baskerville Old Face"/>
          <w:sz w:val="24"/>
          <w:szCs w:val="24"/>
        </w:rPr>
        <w:t xml:space="preserve">Tale norma </w:t>
      </w:r>
      <w:r w:rsidRPr="00C901C3">
        <w:rPr>
          <w:rFonts w:ascii="Baskerville Old Face" w:hAnsi="Baskerville Old Face"/>
          <w:color w:val="000000"/>
          <w:sz w:val="24"/>
          <w:szCs w:val="24"/>
        </w:rPr>
        <w:t>dispone che “</w:t>
      </w:r>
      <w:r w:rsidRPr="00C901C3">
        <w:rPr>
          <w:rFonts w:ascii="Baskerville Old Face" w:hAnsi="Baskerville Old Face"/>
          <w:i/>
          <w:iCs/>
          <w:color w:val="000000"/>
          <w:sz w:val="24"/>
          <w:szCs w:val="24"/>
        </w:rPr>
        <w:t xml:space="preserve">Le comunicazioni informative da parte delle strutture sanitarie private di cura e degli iscritti agli albi degli Ordini delle professioni sanitarie […] possono contenere unicamente </w:t>
      </w:r>
      <w:r w:rsidR="005F7AA3" w:rsidRPr="005F7AA3">
        <w:rPr>
          <w:rFonts w:ascii="Baskerville Old Face" w:hAnsi="Baskerville Old Face"/>
          <w:i/>
          <w:iCs/>
          <w:color w:val="000000"/>
          <w:sz w:val="24"/>
          <w:szCs w:val="24"/>
        </w:rPr>
        <w:t>le informazioni</w:t>
      </w:r>
      <w:r w:rsidR="005F7AA3">
        <w:rPr>
          <w:rFonts w:ascii="Baskerville Old Face" w:hAnsi="Baskerville Old Face"/>
          <w:i/>
          <w:iCs/>
          <w:color w:val="000000"/>
          <w:sz w:val="24"/>
          <w:szCs w:val="24"/>
        </w:rPr>
        <w:t xml:space="preserve"> </w:t>
      </w:r>
      <w:r w:rsidRPr="00C901C3">
        <w:rPr>
          <w:rFonts w:ascii="Baskerville Old Face" w:hAnsi="Baskerville Old Face"/>
          <w:i/>
          <w:iCs/>
          <w:color w:val="000000"/>
          <w:sz w:val="24"/>
          <w:szCs w:val="24"/>
        </w:rPr>
        <w:t xml:space="preserve">(…) </w:t>
      </w:r>
      <w:r w:rsidRPr="00C901C3">
        <w:rPr>
          <w:rFonts w:ascii="Baskerville Old Face" w:hAnsi="Baskerville Old Face"/>
          <w:i/>
          <w:iCs/>
          <w:sz w:val="24"/>
          <w:szCs w:val="24"/>
          <w:u w:val="single"/>
        </w:rPr>
        <w:t>funzionali a garantire la sicurezza dei trattamenti sanitari, escluso qualsiasi elemento di carattere promozionale o suggestivo (…)</w:t>
      </w:r>
      <w:r w:rsidRPr="00C901C3">
        <w:rPr>
          <w:rFonts w:ascii="Baskerville Old Face" w:hAnsi="Baskerville Old Face"/>
          <w:color w:val="000000"/>
          <w:sz w:val="24"/>
          <w:szCs w:val="24"/>
        </w:rPr>
        <w:t>”</w:t>
      </w:r>
      <w:r w:rsidRPr="00C901C3">
        <w:rPr>
          <w:rStyle w:val="Rimandonotaapidipagina"/>
          <w:rFonts w:ascii="Baskerville Old Face" w:hAnsi="Baskerville Old Face"/>
          <w:color w:val="000000"/>
          <w:sz w:val="24"/>
          <w:szCs w:val="24"/>
        </w:rPr>
        <w:footnoteReference w:id="19"/>
      </w:r>
      <w:r w:rsidRPr="00C901C3">
        <w:rPr>
          <w:rFonts w:ascii="Baskerville Old Face" w:hAnsi="Baskerville Old Face"/>
          <w:color w:val="000000"/>
          <w:sz w:val="24"/>
          <w:szCs w:val="24"/>
        </w:rPr>
        <w:t>.</w:t>
      </w:r>
      <w:r w:rsidRPr="00C901C3">
        <w:rPr>
          <w:rFonts w:ascii="Baskerville Old Face" w:hAnsi="Baskerville Old Face" w:cs="Times New Roman"/>
          <w:sz w:val="24"/>
          <w:szCs w:val="24"/>
        </w:rPr>
        <w:t xml:space="preserve"> </w:t>
      </w:r>
      <w:r w:rsidRPr="00C901C3">
        <w:rPr>
          <w:rFonts w:ascii="Baskerville Old Face" w:hAnsi="Baskerville Old Face"/>
          <w:color w:val="000000"/>
          <w:sz w:val="24"/>
          <w:szCs w:val="24"/>
        </w:rPr>
        <w:t>Come già osservato dall’Autorità, la disposizione richiamata ha reintrodotto delle ingiustificate limitazioni all’utilizzo della pubblicità nel settore delle professioni sanitarie, in controtendenza rispetto al trend di liberalizzazione che ha contraddistinto l’evoluzione del settore, peraltro non motivate né proporzionate all’interesse generale di tutelare il consumatore.</w:t>
      </w:r>
      <w:r w:rsidRPr="00C901C3">
        <w:rPr>
          <w:rFonts w:ascii="Baskerville Old Face" w:hAnsi="Baskerville Old Face" w:cs="Times New Roman"/>
          <w:sz w:val="24"/>
          <w:szCs w:val="24"/>
        </w:rPr>
        <w:t xml:space="preserve"> </w:t>
      </w:r>
    </w:p>
    <w:p w:rsidR="00C7531B" w:rsidRPr="00C901C3" w:rsidRDefault="00C7531B" w:rsidP="00C7531B">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olor w:val="000000"/>
          <w:sz w:val="24"/>
          <w:szCs w:val="24"/>
        </w:rPr>
        <w:t>In particolare,</w:t>
      </w:r>
      <w:r w:rsidRPr="00C901C3">
        <w:rPr>
          <w:rFonts w:ascii="Baskerville Old Face" w:hAnsi="Baskerville Old Face"/>
          <w:b/>
          <w:color w:val="000000"/>
          <w:sz w:val="24"/>
          <w:szCs w:val="24"/>
        </w:rPr>
        <w:t xml:space="preserve"> </w:t>
      </w:r>
      <w:r w:rsidRPr="00C901C3">
        <w:rPr>
          <w:rFonts w:ascii="Baskerville Old Face" w:hAnsi="Baskerville Old Face"/>
          <w:color w:val="000000"/>
          <w:sz w:val="24"/>
          <w:szCs w:val="24"/>
        </w:rPr>
        <w:t xml:space="preserve">la citata disposizione richiama l’art. 2 del D.L. 223/2006 </w:t>
      </w:r>
      <w:r w:rsidRPr="00C901C3">
        <w:rPr>
          <w:rStyle w:val="Rimandonotaapidipagina"/>
          <w:rFonts w:ascii="Baskerville Old Face" w:hAnsi="Baskerville Old Face"/>
          <w:color w:val="000000"/>
          <w:sz w:val="24"/>
          <w:szCs w:val="24"/>
        </w:rPr>
        <w:footnoteReference w:id="20"/>
      </w:r>
      <w:r w:rsidRPr="00C901C3">
        <w:rPr>
          <w:rFonts w:ascii="Baskerville Old Face" w:hAnsi="Baskerville Old Face"/>
          <w:color w:val="000000"/>
          <w:sz w:val="24"/>
          <w:szCs w:val="24"/>
        </w:rPr>
        <w:t xml:space="preserve"> per escludere “</w:t>
      </w:r>
      <w:r w:rsidRPr="00C901C3">
        <w:rPr>
          <w:rFonts w:ascii="Baskerville Old Face" w:hAnsi="Baskerville Old Face"/>
          <w:i/>
          <w:color w:val="000000"/>
          <w:sz w:val="24"/>
          <w:szCs w:val="24"/>
        </w:rPr>
        <w:t>qualsiasi elemento di carattere promozionale o suggestivo</w:t>
      </w:r>
      <w:r w:rsidRPr="00C901C3">
        <w:rPr>
          <w:rFonts w:ascii="Baskerville Old Face" w:hAnsi="Baskerville Old Face"/>
          <w:color w:val="000000"/>
          <w:sz w:val="24"/>
          <w:szCs w:val="24"/>
        </w:rPr>
        <w:t>”, mentre la disposizione di liberalizzazione aveva proprio inteso legittimare l’utilizzo dello strumento pubblicitario nel settore, al punto da richiedere che i Codici deontologici fossero modificati in tal senso</w:t>
      </w:r>
      <w:r w:rsidRPr="00C901C3">
        <w:rPr>
          <w:rStyle w:val="Rimandonotaapidipagina"/>
          <w:rFonts w:ascii="Baskerville Old Face" w:hAnsi="Baskerville Old Face"/>
          <w:color w:val="000000"/>
          <w:sz w:val="24"/>
          <w:szCs w:val="24"/>
        </w:rPr>
        <w:footnoteReference w:id="21"/>
      </w:r>
      <w:r w:rsidRPr="00C901C3">
        <w:rPr>
          <w:rFonts w:ascii="Baskerville Old Face" w:hAnsi="Baskerville Old Face"/>
          <w:color w:val="000000"/>
          <w:sz w:val="24"/>
          <w:szCs w:val="24"/>
        </w:rPr>
        <w:t>. Tra l’altro, circoscrivere il contenuto legittimo di una “</w:t>
      </w:r>
      <w:r w:rsidRPr="00C901C3">
        <w:rPr>
          <w:rFonts w:ascii="Baskerville Old Face" w:hAnsi="Baskerville Old Face"/>
          <w:i/>
          <w:color w:val="000000"/>
          <w:sz w:val="24"/>
          <w:szCs w:val="24"/>
        </w:rPr>
        <w:t>comunicazione informativa</w:t>
      </w:r>
      <w:r w:rsidRPr="00C901C3">
        <w:rPr>
          <w:rFonts w:ascii="Baskerville Old Face" w:hAnsi="Baskerville Old Face"/>
          <w:color w:val="000000"/>
          <w:sz w:val="24"/>
          <w:szCs w:val="24"/>
        </w:rPr>
        <w:t>” all’unico fine di “</w:t>
      </w:r>
      <w:r w:rsidRPr="00C901C3">
        <w:rPr>
          <w:rFonts w:ascii="Baskerville Old Face" w:hAnsi="Baskerville Old Face"/>
          <w:i/>
          <w:color w:val="000000"/>
          <w:sz w:val="24"/>
          <w:szCs w:val="24"/>
        </w:rPr>
        <w:t>garantire la sicurezza dei trattamenti sanitari</w:t>
      </w:r>
      <w:r w:rsidRPr="00C901C3">
        <w:rPr>
          <w:rFonts w:ascii="Baskerville Old Face" w:hAnsi="Baskerville Old Face"/>
          <w:color w:val="000000"/>
          <w:sz w:val="24"/>
          <w:szCs w:val="24"/>
        </w:rPr>
        <w:t>” rende inefficace e inutile lo strumento pubblicitario. Come già rilevato</w:t>
      </w:r>
      <w:r w:rsidRPr="00C901C3">
        <w:rPr>
          <w:rStyle w:val="Rimandonotaapidipagina"/>
          <w:rFonts w:ascii="Baskerville Old Face" w:hAnsi="Baskerville Old Face"/>
          <w:color w:val="000000"/>
          <w:sz w:val="24"/>
          <w:szCs w:val="24"/>
        </w:rPr>
        <w:footnoteReference w:id="22"/>
      </w:r>
      <w:r w:rsidRPr="00C901C3">
        <w:rPr>
          <w:rFonts w:ascii="Baskerville Old Face" w:hAnsi="Baskerville Old Face"/>
          <w:color w:val="000000"/>
          <w:sz w:val="24"/>
          <w:szCs w:val="24"/>
        </w:rPr>
        <w:t xml:space="preserve">, infatti, non è la pubblicità </w:t>
      </w:r>
      <w:r w:rsidR="005F7AA3">
        <w:rPr>
          <w:rFonts w:ascii="Baskerville Old Face" w:hAnsi="Baskerville Old Face"/>
          <w:color w:val="000000"/>
          <w:sz w:val="24"/>
          <w:szCs w:val="24"/>
        </w:rPr>
        <w:t xml:space="preserve">o il suo divieto </w:t>
      </w:r>
      <w:r w:rsidRPr="00C901C3">
        <w:rPr>
          <w:rFonts w:ascii="Baskerville Old Face" w:hAnsi="Baskerville Old Face"/>
          <w:color w:val="000000"/>
          <w:sz w:val="24"/>
          <w:szCs w:val="24"/>
        </w:rPr>
        <w:t xml:space="preserve">che garantisce la sicurezza dei trattamenti sanitari, quanto piuttosto le </w:t>
      </w:r>
      <w:r w:rsidRPr="00C901C3">
        <w:rPr>
          <w:rFonts w:ascii="Baskerville Old Face" w:hAnsi="Baskerville Old Face"/>
          <w:color w:val="000000"/>
          <w:sz w:val="24"/>
          <w:szCs w:val="24"/>
        </w:rPr>
        <w:lastRenderedPageBreak/>
        <w:t>misure in tal senso concretamente adottate dai professionisti nell’esercizio della propria attività, misure peraltro imposte dalla disciplina di settore e dalla dovuta diligenza professionale.</w:t>
      </w:r>
      <w:r w:rsidRPr="00C901C3">
        <w:rPr>
          <w:rFonts w:ascii="Baskerville Old Face" w:hAnsi="Baskerville Old Face" w:cs="Times New Roman"/>
          <w:sz w:val="24"/>
          <w:szCs w:val="24"/>
        </w:rPr>
        <w:t xml:space="preserve"> </w:t>
      </w:r>
      <w:r w:rsidRPr="00C901C3">
        <w:rPr>
          <w:rFonts w:ascii="Baskerville Old Face" w:hAnsi="Baskerville Old Face"/>
          <w:color w:val="000000"/>
          <w:sz w:val="24"/>
          <w:szCs w:val="24"/>
        </w:rPr>
        <w:t>Inoltre, il suddetto riferimento (“garantire la sicurezza dei trattamenti sanitari”), quale parametro vincolante di valutazione delle comunicazioni informative, risulta talmente vago nella sua effettiva applicazione da generare incertezza nei professionisti circa la legittimità dell’impiego dello strumento promozionale. Pertanto, si è auspicato un intervento di rimozione dal comma 525 della legge n. 145/2018 dell’inciso “</w:t>
      </w:r>
      <w:r w:rsidRPr="00C901C3">
        <w:rPr>
          <w:rFonts w:ascii="Baskerville Old Face" w:hAnsi="Baskerville Old Face"/>
          <w:i/>
          <w:iCs/>
          <w:sz w:val="24"/>
          <w:szCs w:val="24"/>
          <w:u w:val="single"/>
        </w:rPr>
        <w:t>funzionali a garantire la sicurezza dei trattamenti sanitari, escluso qualsiasi elemento di carattere promozionale o suggestivo</w:t>
      </w:r>
      <w:r w:rsidRPr="00C901C3">
        <w:rPr>
          <w:rFonts w:ascii="Baskerville Old Face" w:hAnsi="Baskerville Old Face"/>
          <w:color w:val="000000"/>
          <w:sz w:val="24"/>
          <w:szCs w:val="24"/>
        </w:rPr>
        <w:t>” riferito alle comunicazioni informative nel settore.</w:t>
      </w:r>
    </w:p>
    <w:p w:rsidR="00C7531B" w:rsidRPr="00C901C3" w:rsidRDefault="00D37331" w:rsidP="00D37331">
      <w:pPr>
        <w:spacing w:after="0" w:line="480" w:lineRule="auto"/>
        <w:ind w:right="-1"/>
        <w:jc w:val="center"/>
        <w:rPr>
          <w:rFonts w:ascii="Baskerville Old Face" w:hAnsi="Baskerville Old Face"/>
          <w:b/>
          <w:i/>
          <w:sz w:val="24"/>
          <w:szCs w:val="24"/>
        </w:rPr>
      </w:pPr>
      <w:r w:rsidRPr="00C901C3">
        <w:rPr>
          <w:rFonts w:ascii="Baskerville Old Face" w:hAnsi="Baskerville Old Face"/>
          <w:b/>
          <w:i/>
          <w:sz w:val="24"/>
          <w:szCs w:val="24"/>
        </w:rPr>
        <w:t>***</w:t>
      </w:r>
    </w:p>
    <w:p w:rsidR="005F7F7F" w:rsidRPr="00C901C3" w:rsidRDefault="00C7531B" w:rsidP="0056628A">
      <w:pPr>
        <w:spacing w:after="0" w:line="480" w:lineRule="auto"/>
        <w:ind w:right="-1" w:firstLine="708"/>
        <w:jc w:val="both"/>
        <w:rPr>
          <w:rFonts w:ascii="Baskerville Old Face" w:hAnsi="Baskerville Old Face" w:cs="Times New Roman"/>
          <w:sz w:val="24"/>
          <w:szCs w:val="24"/>
        </w:rPr>
      </w:pPr>
      <w:r w:rsidRPr="00C901C3">
        <w:rPr>
          <w:rFonts w:ascii="Baskerville Old Face" w:hAnsi="Baskerville Old Face" w:cs="Times New Roman"/>
          <w:sz w:val="24"/>
          <w:szCs w:val="24"/>
        </w:rPr>
        <w:t>Non posso che concludere questo mio breve intervento ribadendo che</w:t>
      </w:r>
      <w:r w:rsidR="005F7F7F" w:rsidRPr="00C901C3">
        <w:rPr>
          <w:rFonts w:ascii="Baskerville Old Face" w:hAnsi="Baskerville Old Face" w:cs="Times New Roman"/>
          <w:sz w:val="24"/>
          <w:szCs w:val="24"/>
        </w:rPr>
        <w:t xml:space="preserve"> l’Autorità continuerà a monitorare e, attraverso il proprio potere di segnalazione, a evidenziare le </w:t>
      </w:r>
      <w:r w:rsidRPr="00C901C3">
        <w:rPr>
          <w:rFonts w:ascii="Baskerville Old Face" w:hAnsi="Baskerville Old Face" w:cs="Times New Roman"/>
          <w:sz w:val="24"/>
          <w:szCs w:val="24"/>
        </w:rPr>
        <w:t xml:space="preserve">più diverse </w:t>
      </w:r>
      <w:r w:rsidR="005F7F7F" w:rsidRPr="00C901C3">
        <w:rPr>
          <w:rFonts w:ascii="Baskerville Old Face" w:hAnsi="Baskerville Old Face" w:cs="Times New Roman"/>
          <w:sz w:val="24"/>
          <w:szCs w:val="24"/>
        </w:rPr>
        <w:t>criticità: il tutto in ossequio al principio di leale collaborazione e nel pieno rispetto delle prerogative del Governo e del Parlamento.</w:t>
      </w:r>
    </w:p>
    <w:p w:rsidR="005F7F7F" w:rsidRPr="00C901C3" w:rsidRDefault="005F7F7F" w:rsidP="0056628A">
      <w:pPr>
        <w:spacing w:after="0" w:line="480" w:lineRule="auto"/>
        <w:ind w:right="-1"/>
        <w:jc w:val="both"/>
        <w:rPr>
          <w:rFonts w:ascii="Baskerville Old Face" w:hAnsi="Baskerville Old Face" w:cs="Times New Roman"/>
          <w:sz w:val="24"/>
          <w:szCs w:val="24"/>
        </w:rPr>
      </w:pPr>
      <w:r w:rsidRPr="00C901C3">
        <w:rPr>
          <w:rFonts w:ascii="Baskerville Old Face" w:hAnsi="Baskerville Old Face" w:cs="Times New Roman"/>
          <w:sz w:val="24"/>
          <w:szCs w:val="24"/>
        </w:rPr>
        <w:t>Vi ringrazio per l’attenzione.</w:t>
      </w:r>
    </w:p>
    <w:sectPr w:rsidR="005F7F7F" w:rsidRPr="00C901C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44" w:rsidRDefault="00AB3344" w:rsidP="00942235">
      <w:pPr>
        <w:spacing w:after="0" w:line="240" w:lineRule="auto"/>
      </w:pPr>
      <w:r>
        <w:separator/>
      </w:r>
    </w:p>
  </w:endnote>
  <w:endnote w:type="continuationSeparator" w:id="0">
    <w:p w:rsidR="00AB3344" w:rsidRDefault="00AB3344" w:rsidP="0094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904201"/>
      <w:docPartObj>
        <w:docPartGallery w:val="Page Numbers (Bottom of Page)"/>
        <w:docPartUnique/>
      </w:docPartObj>
    </w:sdtPr>
    <w:sdtEndPr/>
    <w:sdtContent>
      <w:p w:rsidR="00552103" w:rsidRDefault="00552103">
        <w:pPr>
          <w:pStyle w:val="Pidipagina"/>
          <w:jc w:val="center"/>
        </w:pPr>
        <w:r>
          <w:fldChar w:fldCharType="begin"/>
        </w:r>
        <w:r>
          <w:instrText>PAGE   \* MERGEFORMAT</w:instrText>
        </w:r>
        <w:r>
          <w:fldChar w:fldCharType="separate"/>
        </w:r>
        <w:r w:rsidR="00783929">
          <w:rPr>
            <w:noProof/>
          </w:rPr>
          <w:t>1</w:t>
        </w:r>
        <w:r>
          <w:fldChar w:fldCharType="end"/>
        </w:r>
      </w:p>
    </w:sdtContent>
  </w:sdt>
  <w:p w:rsidR="00552103" w:rsidRDefault="005521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44" w:rsidRDefault="00AB3344" w:rsidP="00942235">
      <w:pPr>
        <w:spacing w:after="0" w:line="240" w:lineRule="auto"/>
      </w:pPr>
      <w:r>
        <w:separator/>
      </w:r>
    </w:p>
  </w:footnote>
  <w:footnote w:type="continuationSeparator" w:id="0">
    <w:p w:rsidR="00AB3344" w:rsidRDefault="00AB3344" w:rsidP="00942235">
      <w:pPr>
        <w:spacing w:after="0" w:line="240" w:lineRule="auto"/>
      </w:pPr>
      <w:r>
        <w:continuationSeparator/>
      </w:r>
    </w:p>
  </w:footnote>
  <w:footnote w:id="1">
    <w:p w:rsidR="00942235" w:rsidRPr="000C7F18" w:rsidRDefault="00942235" w:rsidP="00942235">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D.lgs. n. 9/2008 (</w:t>
      </w:r>
      <w:r w:rsidRPr="000C7F18">
        <w:rPr>
          <w:rFonts w:ascii="Baskerville Old Face" w:hAnsi="Baskerville Old Face"/>
          <w:i/>
        </w:rPr>
        <w:t>Disciplina della titolarità e della commercializzazione dei diritti audiovisivi sportivi e relativa ripartizione delle risorse</w:t>
      </w:r>
      <w:r w:rsidRPr="000C7F18">
        <w:rPr>
          <w:rFonts w:ascii="Baskerville Old Face" w:hAnsi="Baskerville Old Face"/>
        </w:rPr>
        <w:t xml:space="preserve"> - c.d. decreto Melandri).</w:t>
      </w:r>
    </w:p>
  </w:footnote>
  <w:footnote w:id="2">
    <w:p w:rsidR="00942235" w:rsidRPr="000C7F18" w:rsidRDefault="00942235" w:rsidP="00942235">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D.lgs. n. 142/2020 (</w:t>
      </w:r>
      <w:r w:rsidRPr="000C7F18">
        <w:rPr>
          <w:rFonts w:ascii="Baskerville Old Face" w:hAnsi="Baskerville Old Face"/>
          <w:i/>
        </w:rPr>
        <w:t>Attuazione della direttiva (UE) 2018/958 del Parlamento europeo e del Consiglio, del 28 giugno 2018 relativa a un test della proporzionalità prima dell'adozione di una nuova regolamentazione delle professioni</w:t>
      </w:r>
      <w:r w:rsidRPr="000C7F18">
        <w:rPr>
          <w:rFonts w:ascii="Baskerville Old Face" w:hAnsi="Baskerville Old Face"/>
        </w:rPr>
        <w:t>).</w:t>
      </w:r>
    </w:p>
  </w:footnote>
  <w:footnote w:id="3">
    <w:p w:rsidR="00E362DB" w:rsidRPr="000C7F18" w:rsidRDefault="00E362DB" w:rsidP="00E362DB">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Corte di giustizia, 4.10.2018, C</w:t>
      </w:r>
      <w:r w:rsidRPr="000C7F18">
        <w:t>‑</w:t>
      </w:r>
      <w:r w:rsidRPr="000C7F18">
        <w:rPr>
          <w:rFonts w:ascii="Baskerville Old Face" w:hAnsi="Baskerville Old Face"/>
        </w:rPr>
        <w:t>416/17, Commissione c. Francia, p.ti 105-114.</w:t>
      </w:r>
    </w:p>
  </w:footnote>
  <w:footnote w:id="4">
    <w:p w:rsidR="00581CBC" w:rsidRPr="000C7F18" w:rsidRDefault="00581CBC">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In tale contesto, nel periodo di riferimento, sono state valutate circa 56 domande di rinvio pregiudiziale di cui 10 in materia di concorrenza. In 3 casi l’Autorità ha manifestato interesse all’intervento del Governo Italiano nel contenzioso dinnanzi alla Corte di giustizia, mentre in 5 casi l’interesse è stato manifestato unicamente per la fase orale del contenzioso.</w:t>
      </w:r>
    </w:p>
  </w:footnote>
  <w:footnote w:id="5">
    <w:p w:rsidR="00363C37" w:rsidRPr="000C7F18" w:rsidRDefault="00363C37" w:rsidP="00363C37">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Essi si suddividono in n. 12 </w:t>
      </w:r>
      <w:r w:rsidRPr="000C7F18">
        <w:rPr>
          <w:rFonts w:ascii="Baskerville Old Face" w:hAnsi="Baskerville Old Face"/>
          <w:i/>
        </w:rPr>
        <w:t>ex</w:t>
      </w:r>
      <w:r w:rsidRPr="000C7F18">
        <w:rPr>
          <w:rFonts w:ascii="Baskerville Old Face" w:hAnsi="Baskerville Old Face"/>
        </w:rPr>
        <w:t xml:space="preserve"> art. 21, n. 23 ex art. 22, n. 29 </w:t>
      </w:r>
      <w:r w:rsidRPr="000C7F18">
        <w:rPr>
          <w:rFonts w:ascii="Baskerville Old Face" w:hAnsi="Baskerville Old Face"/>
          <w:i/>
        </w:rPr>
        <w:t>ex</w:t>
      </w:r>
      <w:r w:rsidRPr="000C7F18">
        <w:rPr>
          <w:rFonts w:ascii="Baskerville Old Face" w:hAnsi="Baskerville Old Face"/>
        </w:rPr>
        <w:t xml:space="preserve"> art. 21</w:t>
      </w:r>
      <w:r w:rsidRPr="000C7F18">
        <w:rPr>
          <w:rFonts w:ascii="Baskerville Old Face" w:hAnsi="Baskerville Old Face"/>
          <w:i/>
        </w:rPr>
        <w:t>bis</w:t>
      </w:r>
      <w:r w:rsidRPr="000C7F18">
        <w:rPr>
          <w:rFonts w:ascii="Baskerville Old Face" w:hAnsi="Baskerville Old Face"/>
        </w:rPr>
        <w:t xml:space="preserve">, n. 11 ai sensi di normative diverse [in particolare, </w:t>
      </w:r>
      <w:r w:rsidRPr="000C7F18">
        <w:rPr>
          <w:rFonts w:ascii="Baskerville Old Face" w:hAnsi="Baskerville Old Face"/>
          <w:u w:val="single"/>
        </w:rPr>
        <w:t>n. 1</w:t>
      </w:r>
      <w:r w:rsidRPr="000C7F18">
        <w:rPr>
          <w:rFonts w:ascii="Baskerville Old Face" w:hAnsi="Baskerville Old Face"/>
        </w:rPr>
        <w:t xml:space="preserve"> ai sensi dell’articolo 31, comma 4, della L. 220/2016 - Relazione sullo stato della concorrenza nel settore della distribuzione cinematografica - </w:t>
      </w:r>
      <w:r w:rsidRPr="000C7F18">
        <w:rPr>
          <w:rFonts w:ascii="Baskerville Old Face" w:hAnsi="Baskerville Old Face"/>
          <w:u w:val="single"/>
        </w:rPr>
        <w:t>n. 7</w:t>
      </w:r>
      <w:r w:rsidRPr="000C7F18">
        <w:rPr>
          <w:rFonts w:ascii="Baskerville Old Face" w:hAnsi="Baskerville Old Face"/>
        </w:rPr>
        <w:t xml:space="preserve"> ai sensi dell’art. 3, comma 3 del d.lgs. n. 142/2020, </w:t>
      </w:r>
      <w:r w:rsidRPr="000C7F18">
        <w:rPr>
          <w:rFonts w:ascii="Baskerville Old Face" w:hAnsi="Baskerville Old Face"/>
          <w:u w:val="single"/>
        </w:rPr>
        <w:t>n. 3</w:t>
      </w:r>
      <w:r w:rsidRPr="000C7F18">
        <w:rPr>
          <w:rFonts w:ascii="Baskerville Old Face" w:hAnsi="Baskerville Old Face"/>
        </w:rPr>
        <w:t xml:space="preserve"> ai sensi del d.lgs. n. 9/2008</w:t>
      </w:r>
      <w:r w:rsidR="00B26971" w:rsidRPr="000C7F18">
        <w:rPr>
          <w:rFonts w:ascii="Baskerville Old Face" w:hAnsi="Baskerville Old Face"/>
        </w:rPr>
        <w:t xml:space="preserve"> </w:t>
      </w:r>
      <w:r w:rsidRPr="000C7F18">
        <w:rPr>
          <w:rFonts w:ascii="Baskerville Old Face" w:hAnsi="Baskerville Old Face"/>
        </w:rPr>
        <w:t>(</w:t>
      </w:r>
      <w:r w:rsidRPr="000C7F18">
        <w:rPr>
          <w:rFonts w:ascii="Baskerville Old Face" w:hAnsi="Baskerville Old Face"/>
          <w:i/>
        </w:rPr>
        <w:t>Disciplina della titolarità e della commercializzazione dei diritti audiovisivi sportivi e relativa ripartizione delle risorse</w:t>
      </w:r>
      <w:r w:rsidRPr="000C7F18">
        <w:rPr>
          <w:rFonts w:ascii="Baskerville Old Face" w:hAnsi="Baskerville Old Face"/>
        </w:rPr>
        <w:t xml:space="preserve"> - c.d. decreto Melandri).</w:t>
      </w:r>
    </w:p>
  </w:footnote>
  <w:footnote w:id="6">
    <w:p w:rsidR="00713D07" w:rsidRPr="000C7F18" w:rsidRDefault="00713D07" w:rsidP="00713D07">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Il D.lgs. n. 59 del 26 marzo 2010 </w:t>
      </w:r>
      <w:r w:rsidR="00D33578" w:rsidRPr="000C7F18">
        <w:rPr>
          <w:rFonts w:ascii="Baskerville Old Face" w:hAnsi="Baskerville Old Face"/>
        </w:rPr>
        <w:t xml:space="preserve">è l’atto normativo che </w:t>
      </w:r>
      <w:r w:rsidRPr="000C7F18">
        <w:rPr>
          <w:rFonts w:ascii="Baskerville Old Face" w:hAnsi="Baskerville Old Face"/>
        </w:rPr>
        <w:t>ha dato attuazione nell’ordinamento giuridico italiano alla Direttiva servizi.</w:t>
      </w:r>
    </w:p>
  </w:footnote>
  <w:footnote w:id="7">
    <w:p w:rsidR="00713D07" w:rsidRPr="000C7F18" w:rsidRDefault="00713D07" w:rsidP="00713D07">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Trattasi di un tema di così cruciale rilevanza da essere stato oggetto anche della giurisprudenza costituzionale. </w:t>
      </w:r>
      <w:r w:rsidR="00D37331" w:rsidRPr="000C7F18">
        <w:rPr>
          <w:rFonts w:ascii="Baskerville Old Face" w:hAnsi="Baskerville Old Face"/>
        </w:rPr>
        <w:t>Cfr</w:t>
      </w:r>
      <w:r w:rsidRPr="000C7F18">
        <w:rPr>
          <w:rFonts w:ascii="Baskerville Old Face" w:hAnsi="Baskerville Old Face"/>
        </w:rPr>
        <w:t xml:space="preserve">., </w:t>
      </w:r>
      <w:r w:rsidRPr="000C7F18">
        <w:rPr>
          <w:rFonts w:ascii="Baskerville Old Face" w:hAnsi="Baskerville Old Face"/>
          <w:i/>
        </w:rPr>
        <w:t>ex multis</w:t>
      </w:r>
      <w:r w:rsidRPr="000C7F18">
        <w:rPr>
          <w:rFonts w:ascii="Baskerville Old Face" w:hAnsi="Baskerville Old Face"/>
        </w:rPr>
        <w:t>, Corte Costituzionale, sent. n. 235/2011 e n. 291/2012.</w:t>
      </w:r>
    </w:p>
  </w:footnote>
  <w:footnote w:id="8">
    <w:p w:rsidR="00C901C3" w:rsidRPr="000C7F18" w:rsidRDefault="00C901C3" w:rsidP="00C901C3">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Per il passato, oltre al già citato caso delle concessioni demaniali, è possibile per esempio ricordare che l’Autorità aveva richiamato, con interventi specificamente focalizzati su questioni locali, l’attenzione sulla necessità di introdurre procedure competitive per lo sfruttamento delle grandi derivazioni idriche utilizzabili per la produzione di energia elettrica (cfr., al riguardo, la segnalazione AS233 </w:t>
      </w:r>
      <w:r w:rsidRPr="000C7F18">
        <w:rPr>
          <w:rFonts w:ascii="Baskerville Old Face" w:hAnsi="Baskerville Old Face"/>
          <w:i/>
        </w:rPr>
        <w:t>Segnalazione sulle concessioni per lo sfruttamento di grandi derivazioni a scopo idroelettrico</w:t>
      </w:r>
      <w:r w:rsidRPr="000C7F18">
        <w:rPr>
          <w:rFonts w:ascii="Baskerville Old Face" w:hAnsi="Baskerville Old Face"/>
        </w:rPr>
        <w:t>, 14 marzo 2002). Si tratta come noto di questioni toccate dalla successiva procedura d’infrazione della Commissione UE: proc. 2011/2026 C (2019)1292 final.</w:t>
      </w:r>
    </w:p>
  </w:footnote>
  <w:footnote w:id="9">
    <w:p w:rsidR="00A4604D" w:rsidRPr="000C7F18" w:rsidRDefault="00A4604D">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AS1824 - Proposte di riforma concorrenziale relative a i settori dell’energia elettrica e del servizio idrico integrato a i fini della legge annuale per il mercato e la concorrenza anno 2022, </w:t>
      </w:r>
      <w:r w:rsidR="00D37331" w:rsidRPr="000C7F18">
        <w:rPr>
          <w:rFonts w:ascii="Baskerville Old Face" w:hAnsi="Baskerville Old Face"/>
        </w:rPr>
        <w:t>in boll. AGCM n. 13/2022.</w:t>
      </w:r>
    </w:p>
  </w:footnote>
  <w:footnote w:id="10">
    <w:p w:rsidR="00C901C3" w:rsidRPr="000C7F18" w:rsidRDefault="00C901C3">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anche il rapporto redatto dall’Unità di Missione PNRR del Ministero delle Infrastrutture e della Mobilità Sostenibili in collaborazione con la Direzione generale per le dighe e le infrastrutture idriche dal titolo “Gli Investimenti e le riforme PNRR per le infrastrutture idriche” disponibile alla pagina web https://www.mit.gov.it/nfsmitgov/files/media/notizia/2022-10/MIMS_PNRR_Risorse%20Idriche%2002.10.2022_compressed.pdf</w:t>
      </w:r>
    </w:p>
  </w:footnote>
  <w:footnote w:id="11">
    <w:p w:rsidR="00A2793A" w:rsidRPr="000C7F18" w:rsidRDefault="00A2793A">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Tra questi, oltre alla libertà di stabilimento e di libera prestazione dei servizi, anche i principi di par condicio, imparzialità e trasparenza.</w:t>
      </w:r>
    </w:p>
  </w:footnote>
  <w:footnote w:id="12">
    <w:p w:rsidR="00A2793A" w:rsidRPr="000C7F18" w:rsidRDefault="00A2793A">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w:t>
      </w:r>
      <w:r w:rsidR="003C6B45" w:rsidRPr="000C7F18">
        <w:rPr>
          <w:rFonts w:ascii="Baskerville Old Face" w:hAnsi="Baskerville Old Face"/>
        </w:rPr>
        <w:t xml:space="preserve">Cfr. la Direttiva servizi </w:t>
      </w:r>
      <w:r w:rsidR="003C6B45" w:rsidRPr="000C7F18">
        <w:rPr>
          <w:rFonts w:ascii="Baskerville Old Face" w:hAnsi="Baskerville Old Face"/>
          <w:i/>
        </w:rPr>
        <w:t>sup. cit.</w:t>
      </w:r>
    </w:p>
  </w:footnote>
  <w:footnote w:id="13">
    <w:p w:rsidR="003C6B45" w:rsidRPr="000C7F18" w:rsidRDefault="003C6B45">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Direttiva 2014/23/UE, sull’aggiudicazione dei contratti di concessione; Direttiva 2014/24/UE, sugli appalti pubblici e che abroga la direttiva 2004/18/CE; Direttiva 2014/25/UE, sulle procedure d’appalto degli enti erogatori nei settori dell’acqua, dell’energia, dei trasporti e dei servizi postali e che abroga la direttiva 2004/17/CE; D.lgs. n. 50/2016,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cd. Codice dei contratti pubblici</w:t>
      </w:r>
    </w:p>
  </w:footnote>
  <w:footnote w:id="14">
    <w:p w:rsidR="003C6B45" w:rsidRPr="000C7F18" w:rsidRDefault="003C6B45">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AS1661, Regione Umbria – Concessione Mineraria alla ditta di acque minerali Rocchetta, in Boll. 21/20, AS1063 e Regione Campania - modalità di rilascio delle concessioni di sfruttamento di giacimenti di acque minerali, in Boll. n. 27/2013. Cfr., inter alia, AS1151, Provincia autonoma di Trento - Affidamento di concessioni per grandi derivazioni di acqua pubblica ad uso idroelettrico, AS1116, Regione Liguria - Organizzazione dei servizi di trasporto pubblico in ambito regionale e locale, AS1114, Regime concessorio presente nel porto di Livorno, AS135, Proroghe delle concessioni autostradali e AS152, Misure di revisione e costituzione di concessioni amministrative.</w:t>
      </w:r>
    </w:p>
  </w:footnote>
  <w:footnote w:id="15">
    <w:p w:rsidR="003C6B45" w:rsidRPr="000C7F18" w:rsidRDefault="003C6B45">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sentenza C. Cost. n. 233 del 21 ottobre 2020, che si colloca in scia alle sentenze nn. 1/2010, 235/2011, 114/2012 e 28/2013 e 117/2015, nelle quali la Corte ha dichiarato l’illegittimità costituzionale, con riferimento ai parametri dell’art. 117, primo e secondo comma, lett. e) della Cost, di normative regionali che prevedevano una proroga automatica delle concessioni per lo sfruttamento di acque minerali in essere in quanto “in contrasto con la direttiva </w:t>
      </w:r>
      <w:r w:rsidR="00D37331" w:rsidRPr="000C7F18">
        <w:rPr>
          <w:rFonts w:ascii="Baskerville Old Face" w:hAnsi="Baskerville Old Face"/>
        </w:rPr>
        <w:t>Servizi</w:t>
      </w:r>
      <w:r w:rsidRPr="000C7F18">
        <w:rPr>
          <w:rFonts w:ascii="Baskerville Old Face" w:hAnsi="Baskerville Old Face"/>
        </w:rPr>
        <w:t>, attuata con decreto legislativo 26 marzo 2010, n. 59, volta a favorire l’ingresso nel mercato di altri operatori economici, eliminando le barriere che alterino la concorrenza tra imprenditori, e la cui efficacia non può venire paralizzata neppure transitoriamente, se non per il periodo strettamente necessario ai fini della definizione della gara pubblica”.</w:t>
      </w:r>
    </w:p>
  </w:footnote>
  <w:footnote w:id="16">
    <w:p w:rsidR="00A4604D" w:rsidRPr="000C7F18" w:rsidRDefault="00A4604D">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AS1868 - Criteri di gestione dell’affidamento in concessione delle acque minerali e di determinazione dei canoni concessori in Boll. AGCM n. 43/2022.</w:t>
      </w:r>
    </w:p>
  </w:footnote>
  <w:footnote w:id="17">
    <w:p w:rsidR="00C473B8" w:rsidRPr="000C7F18" w:rsidRDefault="00C473B8">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R.D. 29 luglio 1927, n. 1443 “Norme di carattere legislativo per disciplinare la ricerca e la coltivazione delle miniere [nel Regno]”, che include la species delle acque minerali nel più vasto genus delle miniere, stabilendo i principi in materia, come la sottoposizione della ricerca e della coltivazione delle miniere al rilascio, da parte dell’autorità competente, di un titolo abilitativo in capo al ricercatore e al concessionario, al quale è imputato un diritto di superficie proporzionale all’area concessa</w:t>
      </w:r>
    </w:p>
  </w:footnote>
  <w:footnote w:id="18">
    <w:p w:rsidR="00C7531B" w:rsidRPr="000C7F18" w:rsidRDefault="00C7531B" w:rsidP="00A4604D">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w:t>
      </w:r>
      <w:r w:rsidR="00A4604D" w:rsidRPr="000C7F18">
        <w:rPr>
          <w:rFonts w:ascii="Baskerville Old Face" w:hAnsi="Baskerville Old Face"/>
        </w:rPr>
        <w:t xml:space="preserve">l’audizione in data 13 maggio 20221 del Presidente dell’Autorità innanzi a Codesta Commissione in relazione al DDL n. 2169 “Disposizioni per l’adempimento degli obblighi derivanti dall’appartenenza dell’Italia all’Unione Europea - Legge europea 2019-2020”. Cfr. anche AS1574 - </w:t>
      </w:r>
      <w:r w:rsidR="00A4604D" w:rsidRPr="000C7F18">
        <w:rPr>
          <w:rFonts w:ascii="Baskerville Old Face" w:hAnsi="Baskerville Old Face"/>
          <w:i/>
        </w:rPr>
        <w:t>Osservazioni in merito alla legge di bilancio 2019</w:t>
      </w:r>
      <w:r w:rsidR="00A4604D" w:rsidRPr="000C7F18">
        <w:rPr>
          <w:rFonts w:ascii="Baskerville Old Face" w:hAnsi="Baskerville Old Face"/>
        </w:rPr>
        <w:t xml:space="preserve"> del 12 marzo 2019, in Boll. 13/2019</w:t>
      </w:r>
      <w:r w:rsidRPr="000C7F18">
        <w:rPr>
          <w:rFonts w:ascii="Baskerville Old Face" w:hAnsi="Baskerville Old Face"/>
        </w:rPr>
        <w:t xml:space="preserve"> e </w:t>
      </w:r>
      <w:r w:rsidR="00A4604D" w:rsidRPr="000C7F18">
        <w:rPr>
          <w:rFonts w:ascii="Baskerville Old Face" w:hAnsi="Baskerville Old Face"/>
        </w:rPr>
        <w:t xml:space="preserve">AS1553 – </w:t>
      </w:r>
      <w:r w:rsidR="00A4604D" w:rsidRPr="000C7F18">
        <w:rPr>
          <w:rFonts w:ascii="Baskerville Old Face" w:hAnsi="Baskerville Old Face"/>
          <w:i/>
        </w:rPr>
        <w:t>Legge di Bilancio 2019. Osservazioni in merito agli articoli 41bis e 51 del disegno di legge AC 1334</w:t>
      </w:r>
      <w:r w:rsidR="00A4604D" w:rsidRPr="000C7F18">
        <w:rPr>
          <w:rFonts w:ascii="Baskerville Old Face" w:hAnsi="Baskerville Old Face"/>
        </w:rPr>
        <w:t>, del 12 dicembre 2018</w:t>
      </w:r>
      <w:r w:rsidR="00D37331" w:rsidRPr="000C7F18">
        <w:rPr>
          <w:rFonts w:ascii="Baskerville Old Face" w:hAnsi="Baskerville Old Face"/>
        </w:rPr>
        <w:t xml:space="preserve"> in </w:t>
      </w:r>
      <w:r w:rsidR="00A4604D" w:rsidRPr="000C7F18">
        <w:rPr>
          <w:rFonts w:ascii="Baskerville Old Face" w:hAnsi="Baskerville Old Face"/>
        </w:rPr>
        <w:t>Boll. 49/2018.</w:t>
      </w:r>
    </w:p>
  </w:footnote>
  <w:footnote w:id="19">
    <w:p w:rsidR="00C7531B" w:rsidRPr="000C7F18" w:rsidRDefault="00C7531B" w:rsidP="00C7531B">
      <w:pPr>
        <w:pStyle w:val="PreformattatoHTML"/>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Il citato comma 525 della legge n. 145/2018 dispone, in particolare, che “ </w:t>
      </w:r>
      <w:r w:rsidRPr="000C7F18">
        <w:rPr>
          <w:rFonts w:ascii="Baskerville Old Face" w:hAnsi="Baskerville Old Face" w:cs="Courier New"/>
          <w:i/>
        </w:rPr>
        <w:t>Le  comunicazioni  informative  da  parte   delle   strutture sanitarie private di cura e degli iscritti  agli  albi  degli  Ordini delle professioni sanitarie di cui al capo II della legge 11  gennaio 2018, n. 3, in qualsiasi forma giuridica svolgano la loro  attivita', comprese le societa' di cui all'articolo 1, comma 153, della legge  4 agosto 2017, n. 124, possono contenere unicamente le informazioni  di cui all'articolo 2, comma 1, del decreto-legge 4 luglio 2006, n. 223, convertito, con modificazioni, dalla legge 4  agosto  2006,  n.  248, funzionali a garantire la sicurezza dei trattamenti sanitari, escluso qualsiasi elemento di carattere promozionale o suggestivo, nel rispetto della libera e consapevole determinazione del paziente, a tutela della salute pubblica, della dignità della persona e del suo diritto a una corretta informazione sanitaria”</w:t>
      </w:r>
      <w:r w:rsidRPr="000C7F18">
        <w:rPr>
          <w:rFonts w:ascii="Baskerville Old Face" w:hAnsi="Baskerville Old Face" w:cs="Courier New"/>
        </w:rPr>
        <w:t xml:space="preserve">. </w:t>
      </w:r>
    </w:p>
  </w:footnote>
  <w:footnote w:id="20">
    <w:p w:rsidR="00C7531B" w:rsidRPr="000C7F18" w:rsidRDefault="00C7531B" w:rsidP="00C7531B">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Convertito dalla legge 4 agosto 2006, n. 248.</w:t>
      </w:r>
    </w:p>
  </w:footnote>
  <w:footnote w:id="21">
    <w:p w:rsidR="00C7531B" w:rsidRPr="000C7F18" w:rsidRDefault="00C7531B" w:rsidP="00C7531B">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Viene altresì in rilievo l’art. 4 del D.P.R. n. 137 del 7 agosto 2012, recante la riforma degli ordinamenti professionali a norma dell’art. 3, comma 5 del D.L. 138/2011 (convertito nella legge 183/2011).</w:t>
      </w:r>
    </w:p>
  </w:footnote>
  <w:footnote w:id="22">
    <w:p w:rsidR="00C7531B" w:rsidRPr="000C7F18" w:rsidRDefault="00C7531B" w:rsidP="00C7531B">
      <w:pPr>
        <w:pStyle w:val="Testonotaapidipagina"/>
        <w:rPr>
          <w:rFonts w:ascii="Baskerville Old Face" w:hAnsi="Baskerville Old Face"/>
        </w:rPr>
      </w:pPr>
      <w:r w:rsidRPr="000C7F18">
        <w:rPr>
          <w:rStyle w:val="Rimandonotaapidipagina"/>
          <w:rFonts w:ascii="Baskerville Old Face" w:hAnsi="Baskerville Old Face"/>
        </w:rPr>
        <w:footnoteRef/>
      </w:r>
      <w:r w:rsidRPr="000C7F18">
        <w:rPr>
          <w:rFonts w:ascii="Baskerville Old Face" w:hAnsi="Baskerville Old Face"/>
        </w:rPr>
        <w:t xml:space="preserve"> Cfr. AS1553, </w:t>
      </w:r>
      <w:r w:rsidRPr="000C7F18">
        <w:rPr>
          <w:rFonts w:ascii="Baskerville Old Face" w:hAnsi="Baskerville Old Face"/>
          <w:i/>
        </w:rPr>
        <w:t>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CC6"/>
    <w:multiLevelType w:val="hybridMultilevel"/>
    <w:tmpl w:val="52E456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21276E"/>
    <w:multiLevelType w:val="hybridMultilevel"/>
    <w:tmpl w:val="F4307DA0"/>
    <w:lvl w:ilvl="0" w:tplc="DABE3BA0">
      <w:start w:val="1"/>
      <w:numFmt w:val="decimal"/>
      <w:lvlText w:val="%1."/>
      <w:lvlJc w:val="left"/>
      <w:pPr>
        <w:ind w:left="2345" w:hanging="360"/>
      </w:pPr>
      <w:rPr>
        <w:rFonts w:hint="default"/>
        <w:b/>
        <w:i w:val="0"/>
        <w:color w:val="auto"/>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20A5CEF"/>
    <w:multiLevelType w:val="hybridMultilevel"/>
    <w:tmpl w:val="2CDEB89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1513D1"/>
    <w:multiLevelType w:val="hybridMultilevel"/>
    <w:tmpl w:val="D33E6F2C"/>
    <w:lvl w:ilvl="0" w:tplc="20ACB4A0">
      <w:start w:val="1"/>
      <w:numFmt w:val="upp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B4"/>
    <w:rsid w:val="00024C18"/>
    <w:rsid w:val="00093E09"/>
    <w:rsid w:val="00096355"/>
    <w:rsid w:val="000C7F18"/>
    <w:rsid w:val="0013511A"/>
    <w:rsid w:val="001D5167"/>
    <w:rsid w:val="0021600C"/>
    <w:rsid w:val="003131EB"/>
    <w:rsid w:val="003465EF"/>
    <w:rsid w:val="00363C37"/>
    <w:rsid w:val="00380526"/>
    <w:rsid w:val="003C5595"/>
    <w:rsid w:val="003C6B45"/>
    <w:rsid w:val="003C7452"/>
    <w:rsid w:val="003E56ED"/>
    <w:rsid w:val="004221D5"/>
    <w:rsid w:val="004403E8"/>
    <w:rsid w:val="004B3114"/>
    <w:rsid w:val="004C1E41"/>
    <w:rsid w:val="004D5AE3"/>
    <w:rsid w:val="005442B0"/>
    <w:rsid w:val="00552103"/>
    <w:rsid w:val="0056628A"/>
    <w:rsid w:val="00573E79"/>
    <w:rsid w:val="00581CBC"/>
    <w:rsid w:val="005947D9"/>
    <w:rsid w:val="005F7AA3"/>
    <w:rsid w:val="005F7F7F"/>
    <w:rsid w:val="00713D07"/>
    <w:rsid w:val="007203FB"/>
    <w:rsid w:val="007412CA"/>
    <w:rsid w:val="00783929"/>
    <w:rsid w:val="007A55C5"/>
    <w:rsid w:val="008A2B41"/>
    <w:rsid w:val="008B767B"/>
    <w:rsid w:val="00905C8E"/>
    <w:rsid w:val="00942235"/>
    <w:rsid w:val="009E74F4"/>
    <w:rsid w:val="00A04343"/>
    <w:rsid w:val="00A2793A"/>
    <w:rsid w:val="00A4604D"/>
    <w:rsid w:val="00A519F1"/>
    <w:rsid w:val="00AB3344"/>
    <w:rsid w:val="00B26971"/>
    <w:rsid w:val="00B976A0"/>
    <w:rsid w:val="00BB5379"/>
    <w:rsid w:val="00BB7154"/>
    <w:rsid w:val="00BD6DB8"/>
    <w:rsid w:val="00C473B8"/>
    <w:rsid w:val="00C70E9B"/>
    <w:rsid w:val="00C7531B"/>
    <w:rsid w:val="00C901C3"/>
    <w:rsid w:val="00CA35AC"/>
    <w:rsid w:val="00CF615E"/>
    <w:rsid w:val="00D33578"/>
    <w:rsid w:val="00D36E2B"/>
    <w:rsid w:val="00D37331"/>
    <w:rsid w:val="00D94311"/>
    <w:rsid w:val="00D97E61"/>
    <w:rsid w:val="00DA39A2"/>
    <w:rsid w:val="00DA609D"/>
    <w:rsid w:val="00E362DB"/>
    <w:rsid w:val="00E51293"/>
    <w:rsid w:val="00ED156E"/>
    <w:rsid w:val="00F14B5F"/>
    <w:rsid w:val="00F17E71"/>
    <w:rsid w:val="00F3678C"/>
    <w:rsid w:val="00F57B81"/>
    <w:rsid w:val="00FA5401"/>
    <w:rsid w:val="00FA77C3"/>
    <w:rsid w:val="00FC15B4"/>
    <w:rsid w:val="00FE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D06C4-C638-4D88-957D-AB065AC3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235"/>
    <w:pPr>
      <w:ind w:left="720"/>
      <w:contextualSpacing/>
    </w:pPr>
  </w:style>
  <w:style w:type="paragraph" w:styleId="Testonotaapidipagina">
    <w:name w:val="footnote text"/>
    <w:aliases w:val="Footnote,Fußnote,Fotnotstext1"/>
    <w:basedOn w:val="Normale"/>
    <w:link w:val="TestonotaapidipaginaCarattere"/>
    <w:unhideWhenUsed/>
    <w:rsid w:val="00942235"/>
    <w:pPr>
      <w:spacing w:after="0" w:line="240" w:lineRule="auto"/>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Footnote Carattere,Fußnote Carattere,Fotnotstext1 Carattere"/>
    <w:basedOn w:val="Carpredefinitoparagrafo"/>
    <w:link w:val="Testonotaapidipagina"/>
    <w:rsid w:val="00942235"/>
    <w:rPr>
      <w:rFonts w:ascii="Times New Roman" w:eastAsia="Times New Roman" w:hAnsi="Times New Roman" w:cs="Times New Roman"/>
      <w:sz w:val="20"/>
      <w:szCs w:val="20"/>
      <w:lang w:eastAsia="it-IT"/>
    </w:rPr>
  </w:style>
  <w:style w:type="character" w:styleId="Rimandonotaapidipagina">
    <w:name w:val="footnote reference"/>
    <w:aliases w:val="Footnote number,fr,SUPERS,Footnote reference number,Footnote symbol,note TESI,EN Footnote Reference,stylish,BVI fnr,Times 10 Point,Exposant 3 Point,Ref,de nota al pie,number,-E Fußnotenzeichen,EN Footnote Text,E,o"/>
    <w:basedOn w:val="Carpredefinitoparagrafo"/>
    <w:unhideWhenUsed/>
    <w:qFormat/>
    <w:rsid w:val="00942235"/>
    <w:rPr>
      <w:vertAlign w:val="superscript"/>
    </w:rPr>
  </w:style>
  <w:style w:type="paragraph" w:styleId="Intestazione">
    <w:name w:val="header"/>
    <w:basedOn w:val="Normale"/>
    <w:link w:val="IntestazioneCarattere"/>
    <w:uiPriority w:val="99"/>
    <w:unhideWhenUsed/>
    <w:rsid w:val="005521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2103"/>
  </w:style>
  <w:style w:type="paragraph" w:styleId="Pidipagina">
    <w:name w:val="footer"/>
    <w:basedOn w:val="Normale"/>
    <w:link w:val="PidipaginaCarattere"/>
    <w:uiPriority w:val="99"/>
    <w:unhideWhenUsed/>
    <w:rsid w:val="005521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2103"/>
  </w:style>
  <w:style w:type="paragraph" w:styleId="NormaleWeb">
    <w:name w:val="Normal (Web)"/>
    <w:basedOn w:val="Normale"/>
    <w:uiPriority w:val="99"/>
    <w:semiHidden/>
    <w:unhideWhenUsed/>
    <w:rsid w:val="00FE11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nhideWhenUsed/>
    <w:rsid w:val="00C7531B"/>
    <w:pPr>
      <w:spacing w:after="0" w:line="240" w:lineRule="auto"/>
      <w:jc w:val="both"/>
    </w:pPr>
    <w:rPr>
      <w:rFonts w:ascii="Consolas" w:eastAsia="Times New Roman" w:hAnsi="Consolas" w:cs="Times New Roman"/>
      <w:sz w:val="20"/>
      <w:szCs w:val="20"/>
      <w:lang w:eastAsia="it-IT"/>
    </w:rPr>
  </w:style>
  <w:style w:type="character" w:customStyle="1" w:styleId="PreformattatoHTMLCarattere">
    <w:name w:val="Preformattato HTML Carattere"/>
    <w:basedOn w:val="Carpredefinitoparagrafo"/>
    <w:link w:val="PreformattatoHTML"/>
    <w:rsid w:val="00C7531B"/>
    <w:rPr>
      <w:rFonts w:ascii="Consolas" w:eastAsia="Times New Roman" w:hAnsi="Consolas" w:cs="Times New Roman"/>
      <w:sz w:val="20"/>
      <w:szCs w:val="20"/>
      <w:lang w:eastAsia="it-IT"/>
    </w:rPr>
  </w:style>
  <w:style w:type="paragraph" w:styleId="Testofumetto">
    <w:name w:val="Balloon Text"/>
    <w:basedOn w:val="Normale"/>
    <w:link w:val="TestofumettoCarattere"/>
    <w:uiPriority w:val="99"/>
    <w:semiHidden/>
    <w:unhideWhenUsed/>
    <w:rsid w:val="003131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3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7F44-2EDC-4A15-A4BC-3CBEF9A4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2641</Words>
  <Characters>15056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agcmpca</dc:creator>
  <cp:keywords/>
  <dc:description/>
  <cp:lastModifiedBy>XIV PC Aula lato sinistra</cp:lastModifiedBy>
  <cp:revision>2</cp:revision>
  <cp:lastPrinted>2022-12-21T12:14:00Z</cp:lastPrinted>
  <dcterms:created xsi:type="dcterms:W3CDTF">2022-12-21T13:32:00Z</dcterms:created>
  <dcterms:modified xsi:type="dcterms:W3CDTF">2022-12-21T13:32:00Z</dcterms:modified>
</cp:coreProperties>
</file>