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5581F" w14:textId="5D954BFD" w:rsidR="0051318D" w:rsidRDefault="0051318D"/>
    <w:p w14:paraId="439118EE" w14:textId="75951A4B" w:rsidR="0020762A" w:rsidRDefault="00D01D6E" w:rsidP="009D3BF9">
      <w:pPr>
        <w:jc w:val="both"/>
      </w:pPr>
      <w:r>
        <w:t>Osservazioni di ABC Napoli a.s. relative alla b</w:t>
      </w:r>
      <w:r w:rsidR="0020762A">
        <w:t xml:space="preserve">ozza decreto recante attuazione direttiva 2020/2184 acque potabili – Audizione del 17 gennaio 2023 Camera dei deputati. </w:t>
      </w:r>
    </w:p>
    <w:p w14:paraId="28F111FE" w14:textId="434BFF6F" w:rsidR="0020762A" w:rsidRDefault="0020762A" w:rsidP="009D3BF9">
      <w:pPr>
        <w:jc w:val="both"/>
      </w:pPr>
    </w:p>
    <w:p w14:paraId="55932E13" w14:textId="4ADA6A73" w:rsidR="0020762A" w:rsidRDefault="0020762A" w:rsidP="009D3BF9">
      <w:pPr>
        <w:pStyle w:val="Paragrafoelenco"/>
        <w:numPr>
          <w:ilvl w:val="0"/>
          <w:numId w:val="1"/>
        </w:numPr>
        <w:ind w:left="426"/>
        <w:jc w:val="both"/>
      </w:pPr>
      <w:r>
        <w:t xml:space="preserve">Articolo 2 (Definizioni) </w:t>
      </w:r>
    </w:p>
    <w:p w14:paraId="6FB94B2C" w14:textId="3CBD90F3" w:rsidR="0020762A" w:rsidRPr="0091764A" w:rsidRDefault="0020762A" w:rsidP="009D3BF9">
      <w:pPr>
        <w:ind w:left="426"/>
        <w:jc w:val="both"/>
        <w:rPr>
          <w:i/>
          <w:iCs/>
        </w:rPr>
      </w:pPr>
      <w:r>
        <w:t>al punto dd) si chiede</w:t>
      </w:r>
      <w:r w:rsidR="00D522F5">
        <w:t xml:space="preserve"> la </w:t>
      </w:r>
      <w:r w:rsidR="00B83AA5">
        <w:t>possibilità di</w:t>
      </w:r>
      <w:r>
        <w:t xml:space="preserve"> </w:t>
      </w:r>
      <w:r w:rsidR="00D522F5">
        <w:t>valutare di</w:t>
      </w:r>
      <w:r>
        <w:t xml:space="preserve"> uniformare la definizione di punto di consegna con la definizione riportata nell’Allegato A della delibera 655/</w:t>
      </w:r>
      <w:r w:rsidR="00775873">
        <w:t>2015 di</w:t>
      </w:r>
      <w:r>
        <w:t xml:space="preserve"> ARERA che riporta</w:t>
      </w:r>
      <w:r w:rsidRPr="0091764A">
        <w:rPr>
          <w:b/>
          <w:bCs/>
        </w:rPr>
        <w:t xml:space="preserve">: </w:t>
      </w:r>
      <w:r w:rsidRPr="0091764A">
        <w:rPr>
          <w:b/>
          <w:bCs/>
          <w:i/>
          <w:iCs/>
        </w:rPr>
        <w:t>Punto di consegna dell’acquedotto</w:t>
      </w:r>
      <w:r w:rsidRPr="0091764A">
        <w:rPr>
          <w:i/>
          <w:iCs/>
        </w:rPr>
        <w:t xml:space="preserve"> è </w:t>
      </w:r>
      <w:r w:rsidR="008D7765" w:rsidRPr="0091764A">
        <w:rPr>
          <w:i/>
          <w:iCs/>
        </w:rPr>
        <w:t>il punto</w:t>
      </w:r>
      <w:r w:rsidRPr="0091764A">
        <w:rPr>
          <w:i/>
          <w:iCs/>
        </w:rPr>
        <w:t xml:space="preserve"> in cui la condotta di allacciamento idrico si collega all’impianto o agli impianti dell’utente finale. Sul punto di consegna è installato il misuratore dei volumi.</w:t>
      </w:r>
    </w:p>
    <w:p w14:paraId="2C526FFD" w14:textId="0C8781B8" w:rsidR="00D522F5" w:rsidRDefault="00D522F5" w:rsidP="009D3BF9">
      <w:pPr>
        <w:pStyle w:val="Paragrafoelenco"/>
        <w:numPr>
          <w:ilvl w:val="0"/>
          <w:numId w:val="1"/>
        </w:numPr>
        <w:ind w:left="426"/>
        <w:jc w:val="both"/>
      </w:pPr>
      <w:r>
        <w:t>Articolo 5</w:t>
      </w:r>
      <w:r w:rsidR="00BA49C5">
        <w:t xml:space="preserve"> (punti in cui i valori di parametro devono essere rispettati) </w:t>
      </w:r>
      <w:r>
        <w:t xml:space="preserve">, comma 4, </w:t>
      </w:r>
      <w:r w:rsidR="00D15AF0">
        <w:t xml:space="preserve">lettera </w:t>
      </w:r>
      <w:r>
        <w:t>a), 2)</w:t>
      </w:r>
      <w:r w:rsidR="00BA3707">
        <w:t xml:space="preserve"> Relativamente alla possibilità che  l’autorità sanitaria “raccomandi” al gestore idropotabile  di adottare misure per modificare la natura e le caratteristiche dell’acqua prima </w:t>
      </w:r>
      <w:r w:rsidR="00BA49C5">
        <w:t xml:space="preserve">della fornitura, anche se la responsabilità primaria di intervento è del gestore del sistema idrico interno, si chiede se è possibile precisare che </w:t>
      </w:r>
      <w:r w:rsidR="009112F5">
        <w:t xml:space="preserve">tale richiesta </w:t>
      </w:r>
      <w:r w:rsidR="00BA49C5">
        <w:t xml:space="preserve"> , sia </w:t>
      </w:r>
      <w:r w:rsidR="007C4C62">
        <w:t>attuata</w:t>
      </w:r>
      <w:r w:rsidR="00BA49C5">
        <w:t xml:space="preserve"> solo </w:t>
      </w:r>
      <w:r w:rsidR="009112F5">
        <w:t xml:space="preserve">previa verifica </w:t>
      </w:r>
      <w:r w:rsidR="007C4C62">
        <w:t xml:space="preserve"> con lo stesso gestore </w:t>
      </w:r>
      <w:r w:rsidR="009112F5">
        <w:t xml:space="preserve">che la problematica rilevata sia imputabile anche alla fornitura idropotabile. </w:t>
      </w:r>
    </w:p>
    <w:p w14:paraId="45883753" w14:textId="77777777" w:rsidR="00BA649A" w:rsidRDefault="00BA649A" w:rsidP="009D3BF9">
      <w:pPr>
        <w:pStyle w:val="Paragrafoelenco"/>
        <w:ind w:left="426"/>
        <w:jc w:val="both"/>
      </w:pPr>
    </w:p>
    <w:p w14:paraId="0C7592DC" w14:textId="52217FC5" w:rsidR="00D15AF0" w:rsidRDefault="00D15AF0" w:rsidP="009D3BF9">
      <w:pPr>
        <w:pStyle w:val="Paragrafoelenco"/>
        <w:numPr>
          <w:ilvl w:val="0"/>
          <w:numId w:val="1"/>
        </w:numPr>
        <w:ind w:left="426"/>
        <w:jc w:val="both"/>
      </w:pPr>
      <w:r>
        <w:t xml:space="preserve">Articolo </w:t>
      </w:r>
      <w:r w:rsidR="0091764A">
        <w:t>9 (</w:t>
      </w:r>
      <w:r>
        <w:t>valutazione e gestione del rischio dei sistemi di distribuzione idrica interna)</w:t>
      </w:r>
    </w:p>
    <w:p w14:paraId="39A32599" w14:textId="15BF4FEF" w:rsidR="00D15AF0" w:rsidRDefault="00D15AF0" w:rsidP="009D3BF9">
      <w:pPr>
        <w:pStyle w:val="Paragrafoelenco"/>
        <w:ind w:left="426"/>
        <w:jc w:val="both"/>
      </w:pPr>
      <w:r>
        <w:t xml:space="preserve">Comma 1 </w:t>
      </w:r>
      <w:r w:rsidR="00331EEF">
        <w:t>si chiede di specificare all’inizio del paragrafo che si tratta del distributore della rete idrica “interna”. Questa mancata specifica potrebbe paventare una responsabilità del controllo su reti interni delle strutture prioritarie</w:t>
      </w:r>
      <w:r w:rsidR="00775873">
        <w:t>,</w:t>
      </w:r>
      <w:r w:rsidR="00331EEF">
        <w:t xml:space="preserve"> anche al gestore idropotabile.</w:t>
      </w:r>
    </w:p>
    <w:p w14:paraId="676A4310" w14:textId="77777777" w:rsidR="00BA649A" w:rsidRDefault="00BA649A" w:rsidP="009D3BF9">
      <w:pPr>
        <w:pStyle w:val="Paragrafoelenco"/>
        <w:ind w:left="426"/>
        <w:jc w:val="both"/>
      </w:pPr>
    </w:p>
    <w:p w14:paraId="798393FA" w14:textId="3D096A18" w:rsidR="00AB6A87" w:rsidRPr="00AB6A87" w:rsidRDefault="00AB6A87" w:rsidP="009D3BF9">
      <w:pPr>
        <w:pStyle w:val="Paragrafoelenco"/>
        <w:numPr>
          <w:ilvl w:val="0"/>
          <w:numId w:val="1"/>
        </w:numPr>
        <w:spacing w:before="100" w:beforeAutospacing="1" w:after="0" w:line="240" w:lineRule="auto"/>
        <w:ind w:left="426"/>
        <w:jc w:val="both"/>
      </w:pPr>
      <w:r w:rsidRPr="00AB6A87">
        <w:t>Art.</w:t>
      </w:r>
      <w:r w:rsidR="00D152F4" w:rsidRPr="00AB6A87">
        <w:t>8</w:t>
      </w:r>
      <w:r w:rsidR="00D152F4">
        <w:t xml:space="preserve"> (valutazione del rischio del sistema di fornitura </w:t>
      </w:r>
      <w:r w:rsidR="00874DBB">
        <w:t>idropotabile</w:t>
      </w:r>
      <w:r w:rsidR="00874DBB" w:rsidRPr="00AB6A87">
        <w:t>)</w:t>
      </w:r>
      <w:r w:rsidR="00D152F4">
        <w:t xml:space="preserve"> </w:t>
      </w:r>
      <w:r w:rsidRPr="00AB6A87">
        <w:t>comma 4: </w:t>
      </w:r>
    </w:p>
    <w:p w14:paraId="76902E83" w14:textId="797110D3" w:rsidR="00AB6A87" w:rsidRDefault="00AB6A87" w:rsidP="009D3BF9">
      <w:pPr>
        <w:pStyle w:val="Paragrafoelenco"/>
        <w:spacing w:before="100" w:beforeAutospacing="1" w:after="0" w:line="240" w:lineRule="auto"/>
        <w:ind w:left="426"/>
        <w:jc w:val="both"/>
      </w:pPr>
      <w:r w:rsidRPr="00AB6A87">
        <w:t xml:space="preserve">La valutazione del rischio del sistema di fornitura idro-potabile riguarda i parametri di cui all’Allegato I, Parti A, B e C, i parametri supplementari fissati…  Tale dicitura è </w:t>
      </w:r>
      <w:r>
        <w:t>r</w:t>
      </w:r>
      <w:r w:rsidRPr="00AB6A87">
        <w:t>ipetut</w:t>
      </w:r>
      <w:r>
        <w:t xml:space="preserve">a </w:t>
      </w:r>
      <w:r w:rsidRPr="00AB6A87">
        <w:t>nel</w:t>
      </w:r>
      <w:r>
        <w:t>l’</w:t>
      </w:r>
      <w:r w:rsidRPr="00AB6A87">
        <w:t xml:space="preserve"> Art.12 comma 4: si </w:t>
      </w:r>
      <w:r w:rsidR="00D5626D" w:rsidRPr="00AB6A87">
        <w:t>potrebbe valutare</w:t>
      </w:r>
      <w:r w:rsidRPr="00AB6A87">
        <w:t xml:space="preserve"> la possibilità di modificare art.7 comma 3 lett.c) p.to 1, aggiungendo anche la parte C dell’Allegato I</w:t>
      </w:r>
      <w:r>
        <w:t>.</w:t>
      </w:r>
    </w:p>
    <w:p w14:paraId="019F60B3" w14:textId="77777777" w:rsidR="00BA649A" w:rsidRPr="00AB6A87" w:rsidRDefault="00BA649A" w:rsidP="009D3BF9">
      <w:pPr>
        <w:pStyle w:val="Paragrafoelenco"/>
        <w:spacing w:before="100" w:beforeAutospacing="1" w:after="0" w:line="240" w:lineRule="auto"/>
        <w:ind w:left="426"/>
        <w:jc w:val="both"/>
        <w:rPr>
          <w:rFonts w:ascii="Calibri" w:eastAsia="Calibri" w:hAnsi="Calibri" w:cs="Calibri"/>
          <w:color w:val="000000"/>
          <w:sz w:val="24"/>
          <w:szCs w:val="24"/>
          <w:lang w:eastAsia="it-IT"/>
        </w:rPr>
      </w:pPr>
    </w:p>
    <w:p w14:paraId="736389BB" w14:textId="515066B9" w:rsidR="0091764A" w:rsidRDefault="00E63E6B" w:rsidP="009D3BF9">
      <w:pPr>
        <w:pStyle w:val="Paragrafoelenco"/>
        <w:numPr>
          <w:ilvl w:val="0"/>
          <w:numId w:val="1"/>
        </w:numPr>
        <w:spacing w:before="100" w:beforeAutospacing="1" w:after="100" w:afterAutospacing="1" w:line="240" w:lineRule="auto"/>
        <w:ind w:left="426"/>
        <w:jc w:val="both"/>
      </w:pPr>
      <w:r w:rsidRPr="00D5626D">
        <w:t>All’art.1</w:t>
      </w:r>
      <w:r w:rsidR="00D152F4">
        <w:t xml:space="preserve"> (</w:t>
      </w:r>
      <w:r w:rsidR="00810026">
        <w:t>obiettivi) comma</w:t>
      </w:r>
      <w:r w:rsidRPr="00D5626D">
        <w:t xml:space="preserve"> 1 lett. a) è riportato: </w:t>
      </w:r>
    </w:p>
    <w:p w14:paraId="24D0D522" w14:textId="5887F8E0" w:rsidR="00E63E6B" w:rsidRPr="00D5626D" w:rsidRDefault="00E63E6B" w:rsidP="009D3BF9">
      <w:pPr>
        <w:pStyle w:val="Paragrafoelenco"/>
        <w:spacing w:before="100" w:beforeAutospacing="1" w:after="100" w:afterAutospacing="1" w:line="240" w:lineRule="auto"/>
        <w:ind w:left="426"/>
        <w:jc w:val="both"/>
      </w:pPr>
      <w:r w:rsidRPr="00D5626D">
        <w:t xml:space="preserve">«acque destinate al consumo umano», </w:t>
      </w:r>
      <w:r w:rsidR="00D5626D" w:rsidRPr="00D5626D">
        <w:t>in seguito</w:t>
      </w:r>
      <w:r w:rsidRPr="00D5626D">
        <w:t xml:space="preserve"> anche denominate “acque potabili”: 1) tutte le acque trattate o non trattate, destinate a uso potabile, per la preparazione di cibi…;</w:t>
      </w:r>
    </w:p>
    <w:p w14:paraId="64C0F0E2" w14:textId="6E110AD5" w:rsidR="00E63E6B" w:rsidRPr="00D5626D" w:rsidRDefault="00E63E6B" w:rsidP="009D3BF9">
      <w:pPr>
        <w:spacing w:before="100" w:beforeAutospacing="1" w:after="100" w:afterAutospacing="1" w:line="240" w:lineRule="auto"/>
        <w:ind w:left="426"/>
        <w:jc w:val="both"/>
      </w:pPr>
      <w:r w:rsidRPr="00D5626D">
        <w:t xml:space="preserve">poiché nel documento </w:t>
      </w:r>
      <w:r w:rsidR="006567BF" w:rsidRPr="00D5626D">
        <w:t>si utilizza</w:t>
      </w:r>
      <w:r w:rsidR="00497A7B" w:rsidRPr="00D5626D">
        <w:t xml:space="preserve"> la terminologia acque non trattate per riferirsi ad acque che possono richiedere il trattamento, quindi diverse da quelle riportate nella precedente definizione, per non ingenerare equivoci potrebbe essere opportuno utilizzare sempre la terminologia “acque da destinare al consumo umano”</w:t>
      </w:r>
    </w:p>
    <w:p w14:paraId="245B040B" w14:textId="4DE8F17D" w:rsidR="00497A7B" w:rsidRDefault="0091764A" w:rsidP="009D3BF9">
      <w:pPr>
        <w:pStyle w:val="Paragrafoelenco"/>
        <w:numPr>
          <w:ilvl w:val="0"/>
          <w:numId w:val="1"/>
        </w:numPr>
        <w:autoSpaceDE w:val="0"/>
        <w:autoSpaceDN w:val="0"/>
        <w:spacing w:before="100" w:beforeAutospacing="1" w:after="0" w:line="240" w:lineRule="auto"/>
        <w:ind w:left="426"/>
        <w:jc w:val="both"/>
      </w:pPr>
      <w:r>
        <w:t>Art</w:t>
      </w:r>
      <w:r w:rsidR="00497A7B" w:rsidRPr="00D5626D">
        <w:t>.</w:t>
      </w:r>
      <w:r w:rsidR="00874DBB" w:rsidRPr="00D5626D">
        <w:t>2</w:t>
      </w:r>
      <w:r w:rsidR="00874DBB">
        <w:t xml:space="preserve"> (</w:t>
      </w:r>
      <w:r w:rsidR="00810026">
        <w:t xml:space="preserve">Definizioni) </w:t>
      </w:r>
      <w:r w:rsidR="00810026" w:rsidRPr="00D5626D">
        <w:t>comma</w:t>
      </w:r>
      <w:r w:rsidR="00497A7B" w:rsidRPr="00D5626D">
        <w:t xml:space="preserve"> 1 lett.cc) potrebbe sembrare che un PSA debba necessariamente comprendere sempre anche una valutazione del rischio dei sistemi di distribuzione interni, ma in realtà ciò non vale per i PSA elaborati dai gestori ai sensi degli artt. 6 e </w:t>
      </w:r>
      <w:r w:rsidR="00FE75BD" w:rsidRPr="00D5626D">
        <w:t>8</w:t>
      </w:r>
      <w:r w:rsidR="00775873" w:rsidRPr="00D5626D">
        <w:t>.</w:t>
      </w:r>
      <w:r w:rsidR="00775873">
        <w:t xml:space="preserve">, </w:t>
      </w:r>
      <w:r w:rsidR="00775873" w:rsidRPr="00D5626D">
        <w:t>sarebbe</w:t>
      </w:r>
      <w:r w:rsidR="00497A7B" w:rsidRPr="00D5626D">
        <w:t xml:space="preserve"> opportuno rivedere la definizione</w:t>
      </w:r>
    </w:p>
    <w:p w14:paraId="6348D83A" w14:textId="77777777" w:rsidR="00BA649A" w:rsidRDefault="00BA649A" w:rsidP="009D3BF9">
      <w:pPr>
        <w:pStyle w:val="Paragrafoelenco"/>
        <w:autoSpaceDE w:val="0"/>
        <w:autoSpaceDN w:val="0"/>
        <w:spacing w:before="100" w:beforeAutospacing="1" w:after="0" w:line="240" w:lineRule="auto"/>
        <w:ind w:left="426"/>
        <w:jc w:val="both"/>
      </w:pPr>
    </w:p>
    <w:p w14:paraId="3AD5377B" w14:textId="39662956" w:rsidR="00FE75BD" w:rsidRPr="00D5626D" w:rsidRDefault="00FE75BD" w:rsidP="009D3BF9">
      <w:pPr>
        <w:pStyle w:val="Paragrafoelenco"/>
        <w:numPr>
          <w:ilvl w:val="0"/>
          <w:numId w:val="1"/>
        </w:numPr>
        <w:autoSpaceDE w:val="0"/>
        <w:autoSpaceDN w:val="0"/>
        <w:spacing w:before="100" w:beforeAutospacing="1" w:after="0" w:line="240" w:lineRule="auto"/>
        <w:ind w:left="426"/>
        <w:jc w:val="both"/>
      </w:pPr>
      <w:r w:rsidRPr="0091764A">
        <w:rPr>
          <w:rFonts w:ascii="Times New Roman" w:hAnsi="Times New Roman" w:cs="Times New Roman"/>
          <w:sz w:val="24"/>
          <w:szCs w:val="24"/>
        </w:rPr>
        <w:t xml:space="preserve"> </w:t>
      </w:r>
      <w:r w:rsidR="0091764A">
        <w:t>A</w:t>
      </w:r>
      <w:r w:rsidRPr="00D5626D">
        <w:t>rt. 6</w:t>
      </w:r>
      <w:r w:rsidR="00D152F4">
        <w:t xml:space="preserve"> (</w:t>
      </w:r>
      <w:r w:rsidR="00874DBB">
        <w:t>O</w:t>
      </w:r>
      <w:r w:rsidR="00D152F4">
        <w:t xml:space="preserve">bblighi generali per l’approccio alla sicurezza dell’acqua basato sul rischio) </w:t>
      </w:r>
      <w:r w:rsidR="00874DBB">
        <w:t xml:space="preserve">- </w:t>
      </w:r>
      <w:r w:rsidR="00874DBB" w:rsidRPr="00D5626D">
        <w:t>comma</w:t>
      </w:r>
      <w:r w:rsidRPr="00D5626D">
        <w:t xml:space="preserve"> 7 </w:t>
      </w:r>
    </w:p>
    <w:p w14:paraId="3F846E17" w14:textId="77777777" w:rsidR="00FE75BD" w:rsidRPr="00D5626D" w:rsidRDefault="00FE75BD" w:rsidP="009D3BF9">
      <w:pPr>
        <w:autoSpaceDE w:val="0"/>
        <w:autoSpaceDN w:val="0"/>
        <w:ind w:firstLine="426"/>
        <w:jc w:val="both"/>
      </w:pPr>
      <w:r w:rsidRPr="00A53737">
        <w:t>Per le finalità di cui al comma 6, i gestori idro-potabili:</w:t>
      </w:r>
    </w:p>
    <w:p w14:paraId="13443526" w14:textId="7C1DA49B" w:rsidR="00FE75BD" w:rsidRPr="00D5626D" w:rsidRDefault="00FE75BD" w:rsidP="009D3BF9">
      <w:pPr>
        <w:pStyle w:val="Paragrafoelenco"/>
        <w:numPr>
          <w:ilvl w:val="0"/>
          <w:numId w:val="4"/>
        </w:numPr>
        <w:autoSpaceDE w:val="0"/>
        <w:autoSpaceDN w:val="0"/>
        <w:spacing w:after="0" w:line="240" w:lineRule="auto"/>
        <w:ind w:left="425" w:firstLine="141"/>
        <w:jc w:val="both"/>
      </w:pPr>
      <w:r w:rsidRPr="00D5626D">
        <w:t xml:space="preserve">dimostrano l’adeguatezza della valutazione e gestione del rischio della filiera idro-potabile… </w:t>
      </w:r>
    </w:p>
    <w:p w14:paraId="3AB79EA3" w14:textId="6B79BE3D" w:rsidR="00FE75BD" w:rsidRDefault="00FE75BD" w:rsidP="009D3BF9">
      <w:pPr>
        <w:autoSpaceDE w:val="0"/>
        <w:autoSpaceDN w:val="0"/>
        <w:spacing w:after="0" w:line="240" w:lineRule="auto"/>
        <w:ind w:left="425"/>
        <w:jc w:val="both"/>
      </w:pPr>
      <w:r w:rsidRPr="00D5626D">
        <w:t>potrebbe sembrare che il Gestore sia responsabile anche dell’adeguatezza della valutazione e gestione del rischio sulle aree di ricarica, visto che la filiera idro-potabile, a differenza del sistema di fornitura</w:t>
      </w:r>
      <w:r>
        <w:rPr>
          <w:rFonts w:ascii="Times New Roman" w:hAnsi="Times New Roman" w:cs="Times New Roman"/>
          <w:sz w:val="24"/>
          <w:szCs w:val="24"/>
        </w:rPr>
        <w:t xml:space="preserve"> idro-</w:t>
      </w:r>
      <w:r w:rsidRPr="00D5626D">
        <w:t xml:space="preserve">potabile, in base a quanto riportato all’art.2 comma 1 lett. o) ricomprende anche tali </w:t>
      </w:r>
      <w:r w:rsidR="00D5626D" w:rsidRPr="00D5626D">
        <w:t xml:space="preserve">aree; </w:t>
      </w:r>
      <w:r w:rsidR="00D5626D" w:rsidRPr="00D5626D">
        <w:lastRenderedPageBreak/>
        <w:t>pertanto,</w:t>
      </w:r>
      <w:r w:rsidRPr="00D5626D">
        <w:t xml:space="preserve"> potrebbe essere opportuno sostituire la </w:t>
      </w:r>
      <w:r w:rsidR="00A548A2" w:rsidRPr="00D5626D">
        <w:t>dicitura “</w:t>
      </w:r>
      <w:r w:rsidRPr="00D5626D">
        <w:t>filiera idro-potabile” con “sistema di fornitura idro-potabile”.</w:t>
      </w:r>
    </w:p>
    <w:p w14:paraId="38842438" w14:textId="77777777" w:rsidR="00BA649A" w:rsidRDefault="00BA649A" w:rsidP="009D3BF9">
      <w:pPr>
        <w:autoSpaceDE w:val="0"/>
        <w:autoSpaceDN w:val="0"/>
        <w:spacing w:after="0" w:line="240" w:lineRule="auto"/>
        <w:ind w:left="425"/>
        <w:jc w:val="both"/>
      </w:pPr>
    </w:p>
    <w:p w14:paraId="12879230" w14:textId="6C9D6202" w:rsidR="0091764A" w:rsidRDefault="00775873" w:rsidP="009D3BF9">
      <w:pPr>
        <w:pStyle w:val="Paragrafoelenco"/>
        <w:numPr>
          <w:ilvl w:val="0"/>
          <w:numId w:val="1"/>
        </w:numPr>
        <w:autoSpaceDE w:val="0"/>
        <w:autoSpaceDN w:val="0"/>
        <w:ind w:left="426"/>
        <w:jc w:val="both"/>
      </w:pPr>
      <w:r>
        <w:t xml:space="preserve">Art. 12 </w:t>
      </w:r>
      <w:r w:rsidR="00D152F4">
        <w:t xml:space="preserve">(Controlli) - </w:t>
      </w:r>
      <w:r>
        <w:t xml:space="preserve">comma 3, lettera b), punto 1) potrebbe essere utile specificare meglio la definizione </w:t>
      </w:r>
      <w:r w:rsidR="00A36306">
        <w:t>riportata, sottolineando</w:t>
      </w:r>
      <w:r w:rsidR="00F90176">
        <w:t xml:space="preserve"> l’esclusività della competenza dei controlli sulle reti</w:t>
      </w:r>
      <w:r w:rsidR="00D152F4">
        <w:t xml:space="preserve"> </w:t>
      </w:r>
      <w:r w:rsidR="00874DBB">
        <w:t>di distribuzione</w:t>
      </w:r>
      <w:r w:rsidR="00F90176">
        <w:t xml:space="preserve"> interna </w:t>
      </w:r>
      <w:r w:rsidR="008D7765">
        <w:t>della autorità</w:t>
      </w:r>
      <w:r w:rsidR="00F90176">
        <w:t xml:space="preserve"> sanitaria.</w:t>
      </w:r>
    </w:p>
    <w:p w14:paraId="62B86DBA" w14:textId="77777777" w:rsidR="00BA649A" w:rsidRDefault="00BA649A" w:rsidP="009D3BF9">
      <w:pPr>
        <w:pStyle w:val="Paragrafoelenco"/>
        <w:autoSpaceDE w:val="0"/>
        <w:autoSpaceDN w:val="0"/>
        <w:ind w:left="426"/>
        <w:jc w:val="both"/>
      </w:pPr>
    </w:p>
    <w:p w14:paraId="1B1CEADC" w14:textId="4B2BC593" w:rsidR="00F90176" w:rsidRDefault="00F90176" w:rsidP="009D3BF9">
      <w:pPr>
        <w:pStyle w:val="Paragrafoelenco"/>
        <w:numPr>
          <w:ilvl w:val="0"/>
          <w:numId w:val="1"/>
        </w:numPr>
        <w:autoSpaceDE w:val="0"/>
        <w:autoSpaceDN w:val="0"/>
        <w:ind w:left="426"/>
        <w:jc w:val="both"/>
      </w:pPr>
      <w:r>
        <w:t xml:space="preserve">Art. 12 </w:t>
      </w:r>
      <w:r w:rsidR="00D152F4">
        <w:t xml:space="preserve">(Controlli) - </w:t>
      </w:r>
      <w:r>
        <w:t xml:space="preserve">comma 8, e comma 9, è previsto che il </w:t>
      </w:r>
      <w:r w:rsidR="00513D29">
        <w:t>CeNsia renderà</w:t>
      </w:r>
      <w:r w:rsidR="006D7919">
        <w:t xml:space="preserve"> disponibili metodi per </w:t>
      </w:r>
      <w:r w:rsidR="00362F00">
        <w:t>le determinazioni</w:t>
      </w:r>
      <w:r w:rsidR="006D7919">
        <w:t xml:space="preserve"> di microplastiche e composti per - polifluoroalchilici (PFAS) è auspicabile la previsione che il CeNsia designi metodi standardizzati anche per altri eventuali parametri emergenti che confluiranno nell’elenco di controllo (comma 10 art.12).</w:t>
      </w:r>
    </w:p>
    <w:p w14:paraId="7CE8E224" w14:textId="77777777" w:rsidR="00BA649A" w:rsidRDefault="00BA649A" w:rsidP="009D3BF9">
      <w:pPr>
        <w:pStyle w:val="Paragrafoelenco"/>
        <w:jc w:val="both"/>
      </w:pPr>
    </w:p>
    <w:p w14:paraId="7A581675" w14:textId="073D1E87" w:rsidR="00513D29" w:rsidRDefault="00513D29" w:rsidP="009D3BF9">
      <w:pPr>
        <w:pStyle w:val="Paragrafoelenco"/>
        <w:numPr>
          <w:ilvl w:val="0"/>
          <w:numId w:val="1"/>
        </w:numPr>
        <w:autoSpaceDE w:val="0"/>
        <w:autoSpaceDN w:val="0"/>
        <w:ind w:left="426"/>
        <w:jc w:val="both"/>
      </w:pPr>
      <w:r>
        <w:t xml:space="preserve"> Allegato I, tabella C1 parametri colore, odore, sapore. Si evidenzia </w:t>
      </w:r>
      <w:r w:rsidR="00362F00">
        <w:t>la difficoltà dei controlli analitici per tali parametri</w:t>
      </w:r>
      <w:r>
        <w:t xml:space="preserve"> (così come</w:t>
      </w:r>
      <w:r w:rsidR="00362F00">
        <w:t xml:space="preserve"> </w:t>
      </w:r>
      <w:r w:rsidR="00A36306">
        <w:t>anche per</w:t>
      </w:r>
      <w:r>
        <w:t xml:space="preserve"> il parametro </w:t>
      </w:r>
      <w:r w:rsidR="008D7765">
        <w:t>torbidità) in</w:t>
      </w:r>
      <w:r w:rsidR="00362F00">
        <w:t xml:space="preserve"> quanto per essi non è </w:t>
      </w:r>
      <w:r w:rsidR="00647FC8">
        <w:t>definito un</w:t>
      </w:r>
      <w:r>
        <w:t xml:space="preserve"> valore di parametro numerico (oggettivo), </w:t>
      </w:r>
      <w:r w:rsidR="00362F00">
        <w:t>bensì</w:t>
      </w:r>
      <w:r>
        <w:t xml:space="preserve"> un giudizio soggettivo </w:t>
      </w:r>
      <w:r w:rsidR="00362F00">
        <w:t xml:space="preserve">il cui risultato è </w:t>
      </w:r>
      <w:r w:rsidR="00A53737">
        <w:t>ascritto al</w:t>
      </w:r>
      <w:r w:rsidR="00362F00">
        <w:t xml:space="preserve"> consumatore (accettabile per il consumatore e senza variazioni anomale) e quindi non direttamente determinabile dal laboratorio del gestore.</w:t>
      </w:r>
    </w:p>
    <w:p w14:paraId="4EC8E860" w14:textId="77777777" w:rsidR="00BA649A" w:rsidRDefault="00BA649A" w:rsidP="009D3BF9">
      <w:pPr>
        <w:pStyle w:val="Paragrafoelenco"/>
        <w:autoSpaceDE w:val="0"/>
        <w:autoSpaceDN w:val="0"/>
        <w:ind w:left="426"/>
        <w:jc w:val="both"/>
      </w:pPr>
    </w:p>
    <w:p w14:paraId="216A9A75" w14:textId="22DA63B3" w:rsidR="00A548A2" w:rsidRDefault="005E59B9" w:rsidP="009D3BF9">
      <w:pPr>
        <w:pStyle w:val="Paragrafoelenco"/>
        <w:numPr>
          <w:ilvl w:val="0"/>
          <w:numId w:val="1"/>
        </w:numPr>
        <w:autoSpaceDE w:val="0"/>
        <w:autoSpaceDN w:val="0"/>
        <w:ind w:left="426"/>
        <w:jc w:val="both"/>
      </w:pPr>
      <w:r>
        <w:t>Art 12</w:t>
      </w:r>
      <w:r w:rsidR="00D152F4">
        <w:t xml:space="preserve"> (Controlli) - </w:t>
      </w:r>
      <w:r>
        <w:t xml:space="preserve">comma </w:t>
      </w:r>
      <w:r w:rsidR="00A36306">
        <w:t>4, lettera</w:t>
      </w:r>
      <w:r>
        <w:t xml:space="preserve"> a si chiede di valutare la possibilità di estendere </w:t>
      </w:r>
      <w:r w:rsidR="00D152F4">
        <w:t xml:space="preserve">la </w:t>
      </w:r>
      <w:r>
        <w:t>eliminazione dei parametri controllati a più di 1 (uno), fermo restando le condizioni nello stesso punto dell’articolo.</w:t>
      </w:r>
    </w:p>
    <w:p w14:paraId="2F91CB9D" w14:textId="77777777" w:rsidR="00BA649A" w:rsidRPr="000C5B9C" w:rsidRDefault="00BA649A" w:rsidP="009D3BF9">
      <w:pPr>
        <w:pStyle w:val="Paragrafoelenco"/>
        <w:autoSpaceDE w:val="0"/>
        <w:autoSpaceDN w:val="0"/>
        <w:ind w:left="426"/>
        <w:jc w:val="both"/>
      </w:pPr>
    </w:p>
    <w:p w14:paraId="4A7164D6" w14:textId="43243088" w:rsidR="00A548A2" w:rsidRPr="00A548A2" w:rsidRDefault="00A548A2" w:rsidP="009D3BF9">
      <w:pPr>
        <w:pStyle w:val="Paragrafoelenco"/>
        <w:numPr>
          <w:ilvl w:val="0"/>
          <w:numId w:val="1"/>
        </w:numPr>
        <w:autoSpaceDE w:val="0"/>
        <w:autoSpaceDN w:val="0"/>
        <w:ind w:left="426"/>
        <w:jc w:val="both"/>
      </w:pPr>
      <w:r w:rsidRPr="00A548A2">
        <w:t>Art.</w:t>
      </w:r>
      <w:r w:rsidR="00DA29C6" w:rsidRPr="00A548A2">
        <w:t>7</w:t>
      </w:r>
      <w:r w:rsidR="00DA29C6">
        <w:t>(Valutazione</w:t>
      </w:r>
      <w:r w:rsidR="00D152F4">
        <w:t xml:space="preserve"> e gestione</w:t>
      </w:r>
      <w:r w:rsidR="00DA29C6">
        <w:t xml:space="preserve"> del rischio nelle aree di alimentazione dei punti di </w:t>
      </w:r>
      <w:r w:rsidR="004E1722">
        <w:t>prelievo di</w:t>
      </w:r>
      <w:r w:rsidR="00DA29C6">
        <w:t xml:space="preserve"> acque destinate al consumo </w:t>
      </w:r>
      <w:r w:rsidR="00DE1115">
        <w:t>umano) -</w:t>
      </w:r>
      <w:r w:rsidR="00DA29C6">
        <w:t xml:space="preserve"> </w:t>
      </w:r>
      <w:r w:rsidR="00D152F4">
        <w:t xml:space="preserve"> </w:t>
      </w:r>
      <w:r w:rsidRPr="00A548A2">
        <w:t xml:space="preserve"> comma 11:</w:t>
      </w:r>
    </w:p>
    <w:p w14:paraId="753E3D74" w14:textId="6AE3FC26" w:rsidR="00A548A2" w:rsidRPr="00A548A2" w:rsidRDefault="00A548A2" w:rsidP="009D3BF9">
      <w:pPr>
        <w:autoSpaceDE w:val="0"/>
        <w:autoSpaceDN w:val="0"/>
        <w:spacing w:after="0" w:line="240" w:lineRule="auto"/>
        <w:ind w:left="426"/>
        <w:jc w:val="both"/>
      </w:pPr>
      <w:r w:rsidRPr="00A548A2">
        <w:t xml:space="preserve">Le Autorità ambientali delle regioni e province autonome provvedono affinché l’efficacia </w:t>
      </w:r>
      <w:r w:rsidR="00647FC8" w:rsidRPr="00A548A2">
        <w:t>delle misure</w:t>
      </w:r>
      <w:r w:rsidRPr="00A548A2">
        <w:t xml:space="preserve"> di cui al presente comma sia riesaminata ogni sei anni.</w:t>
      </w:r>
      <w:r w:rsidR="00647FC8">
        <w:t xml:space="preserve"> Si chiede di verificare </w:t>
      </w:r>
      <w:r w:rsidR="00DA29C6">
        <w:t>se il</w:t>
      </w:r>
      <w:r w:rsidR="00647FC8">
        <w:t xml:space="preserve"> termine </w:t>
      </w:r>
      <w:r w:rsidR="00D83710">
        <w:t>“</w:t>
      </w:r>
      <w:r w:rsidR="0050251B">
        <w:t>p</w:t>
      </w:r>
      <w:r w:rsidR="00647FC8">
        <w:t>resente</w:t>
      </w:r>
      <w:r w:rsidR="00D83710">
        <w:t>”</w:t>
      </w:r>
      <w:r w:rsidR="00647FC8">
        <w:t xml:space="preserve"> non si</w:t>
      </w:r>
      <w:r w:rsidR="0050251B">
        <w:t xml:space="preserve">a </w:t>
      </w:r>
      <w:r w:rsidR="00DA29C6">
        <w:t>da sostituire</w:t>
      </w:r>
      <w:r w:rsidR="0050251B">
        <w:t xml:space="preserve"> con il </w:t>
      </w:r>
      <w:r w:rsidR="00480D03">
        <w:t>termine “</w:t>
      </w:r>
      <w:r w:rsidR="00647FC8">
        <w:t>preced</w:t>
      </w:r>
      <w:bookmarkStart w:id="0" w:name="_GoBack"/>
      <w:bookmarkEnd w:id="0"/>
      <w:r w:rsidR="00647FC8">
        <w:t>ente</w:t>
      </w:r>
      <w:r w:rsidR="00D83710">
        <w:t>”</w:t>
      </w:r>
      <w:r w:rsidR="00647FC8">
        <w:t xml:space="preserve"> </w:t>
      </w:r>
    </w:p>
    <w:p w14:paraId="03085466" w14:textId="2CEE000E" w:rsidR="00A548A2" w:rsidRPr="00A548A2" w:rsidRDefault="0050251B" w:rsidP="009D3BF9">
      <w:pPr>
        <w:autoSpaceDE w:val="0"/>
        <w:autoSpaceDN w:val="0"/>
        <w:spacing w:after="0" w:line="240" w:lineRule="auto"/>
        <w:ind w:left="426"/>
        <w:jc w:val="both"/>
      </w:pPr>
      <w:r>
        <w:rPr>
          <w:rFonts w:ascii="Times New Roman" w:eastAsia="Calibri" w:hAnsi="Times New Roman" w:cs="Times New Roman"/>
          <w:sz w:val="24"/>
          <w:szCs w:val="24"/>
          <w:lang w:eastAsia="it-IT"/>
        </w:rPr>
        <w:tab/>
      </w:r>
      <w:r w:rsidR="00A53737">
        <w:rPr>
          <w:rFonts w:ascii="Times New Roman" w:eastAsia="Calibri" w:hAnsi="Times New Roman" w:cs="Times New Roman"/>
          <w:sz w:val="24"/>
          <w:szCs w:val="24"/>
          <w:lang w:eastAsia="it-IT"/>
        </w:rPr>
        <w:tab/>
      </w:r>
    </w:p>
    <w:p w14:paraId="529DA0B7" w14:textId="00336123" w:rsidR="00A548A2" w:rsidRPr="00A548A2" w:rsidRDefault="00A548A2" w:rsidP="009D3BF9">
      <w:pPr>
        <w:pStyle w:val="Paragrafoelenco"/>
        <w:numPr>
          <w:ilvl w:val="0"/>
          <w:numId w:val="1"/>
        </w:numPr>
        <w:autoSpaceDE w:val="0"/>
        <w:autoSpaceDN w:val="0"/>
        <w:ind w:left="426"/>
        <w:jc w:val="both"/>
      </w:pPr>
      <w:r w:rsidRPr="00A548A2">
        <w:t xml:space="preserve">art. 18 </w:t>
      </w:r>
      <w:r w:rsidR="00DA29C6">
        <w:t xml:space="preserve">(Informazioni al pubblico) </w:t>
      </w:r>
      <w:r w:rsidRPr="00A548A2">
        <w:t>commi</w:t>
      </w:r>
      <w:r w:rsidR="000C5B9C">
        <w:t xml:space="preserve"> </w:t>
      </w:r>
      <w:r w:rsidR="00DA29C6" w:rsidRPr="000C5B9C">
        <w:t>1,</w:t>
      </w:r>
      <w:r w:rsidR="000C5B9C">
        <w:t xml:space="preserve"> </w:t>
      </w:r>
      <w:r w:rsidRPr="00A548A2">
        <w:t xml:space="preserve">2 e </w:t>
      </w:r>
      <w:r w:rsidR="00480D03" w:rsidRPr="00A548A2">
        <w:t xml:space="preserve">4 </w:t>
      </w:r>
      <w:r w:rsidR="00480D03" w:rsidRPr="000C5B9C">
        <w:t>si</w:t>
      </w:r>
      <w:r w:rsidR="0058503D" w:rsidRPr="000C5B9C">
        <w:t xml:space="preserve"> chiede se le informazioni da riportare nel cloud del PSA sono riferite alla </w:t>
      </w:r>
      <w:r w:rsidR="000C5B9C" w:rsidRPr="000C5B9C">
        <w:t>tipologia</w:t>
      </w:r>
      <w:r w:rsidR="0058503D" w:rsidRPr="000C5B9C">
        <w:t xml:space="preserve"> di informazioni o all’insieme di dati che costituisce l’informazione.</w:t>
      </w:r>
    </w:p>
    <w:p w14:paraId="0F4C119D" w14:textId="77777777" w:rsidR="00A548A2" w:rsidRPr="00A548A2" w:rsidRDefault="00A548A2" w:rsidP="009D3BF9">
      <w:pPr>
        <w:autoSpaceDE w:val="0"/>
        <w:autoSpaceDN w:val="0"/>
        <w:spacing w:after="0" w:line="240" w:lineRule="auto"/>
        <w:ind w:left="426"/>
        <w:jc w:val="both"/>
        <w:rPr>
          <w:rFonts w:ascii="Times New Roman" w:eastAsia="Calibri" w:hAnsi="Times New Roman" w:cs="Times New Roman"/>
          <w:sz w:val="24"/>
          <w:szCs w:val="24"/>
          <w:highlight w:val="yellow"/>
          <w:lang w:eastAsia="it-IT"/>
        </w:rPr>
      </w:pPr>
    </w:p>
    <w:p w14:paraId="4C5419D1" w14:textId="58AE74BF" w:rsidR="00A548A2" w:rsidRPr="000C5B9C" w:rsidRDefault="00A548A2" w:rsidP="009D3BF9">
      <w:pPr>
        <w:pStyle w:val="Paragrafoelenco"/>
        <w:numPr>
          <w:ilvl w:val="0"/>
          <w:numId w:val="1"/>
        </w:numPr>
        <w:autoSpaceDE w:val="0"/>
        <w:autoSpaceDN w:val="0"/>
        <w:ind w:left="426"/>
        <w:jc w:val="both"/>
      </w:pPr>
      <w:r w:rsidRPr="000C5B9C">
        <w:t xml:space="preserve">Allegato II Parte A p.to 3 lett. d): è richiamato l’articolo 9 comma 2 lett. c) che nel documento non </w:t>
      </w:r>
      <w:r w:rsidR="00F90176" w:rsidRPr="000C5B9C">
        <w:t>esiste.</w:t>
      </w:r>
    </w:p>
    <w:p w14:paraId="64A20DD7" w14:textId="37F9E878" w:rsidR="00A548A2" w:rsidRDefault="00A548A2" w:rsidP="009D3BF9">
      <w:pPr>
        <w:autoSpaceDE w:val="0"/>
        <w:autoSpaceDN w:val="0"/>
        <w:ind w:left="426"/>
        <w:jc w:val="both"/>
        <w:rPr>
          <w:rFonts w:ascii="Times New Roman" w:hAnsi="Times New Roman" w:cs="Times New Roman"/>
          <w:sz w:val="24"/>
          <w:szCs w:val="24"/>
        </w:rPr>
      </w:pPr>
    </w:p>
    <w:p w14:paraId="095804A3" w14:textId="10B687CE" w:rsidR="00A548A2" w:rsidRDefault="00A548A2" w:rsidP="009D3BF9">
      <w:pPr>
        <w:autoSpaceDE w:val="0"/>
        <w:autoSpaceDN w:val="0"/>
        <w:ind w:left="426"/>
        <w:jc w:val="both"/>
        <w:rPr>
          <w:rFonts w:ascii="Times New Roman" w:hAnsi="Times New Roman" w:cs="Times New Roman"/>
          <w:sz w:val="24"/>
          <w:szCs w:val="24"/>
        </w:rPr>
      </w:pPr>
    </w:p>
    <w:p w14:paraId="4584B237" w14:textId="77777777" w:rsidR="00A548A2" w:rsidRDefault="00A548A2" w:rsidP="009D3BF9">
      <w:pPr>
        <w:autoSpaceDE w:val="0"/>
        <w:autoSpaceDN w:val="0"/>
        <w:ind w:left="426"/>
        <w:jc w:val="both"/>
        <w:rPr>
          <w:rFonts w:ascii="Times New Roman" w:hAnsi="Times New Roman" w:cs="Times New Roman"/>
          <w:sz w:val="24"/>
          <w:szCs w:val="24"/>
        </w:rPr>
      </w:pPr>
    </w:p>
    <w:p w14:paraId="329EC1B0" w14:textId="0F7954FB" w:rsidR="00A548A2" w:rsidRDefault="00A548A2" w:rsidP="009D3BF9">
      <w:pPr>
        <w:autoSpaceDE w:val="0"/>
        <w:autoSpaceDN w:val="0"/>
        <w:ind w:left="426"/>
        <w:jc w:val="both"/>
        <w:rPr>
          <w:rFonts w:ascii="Times New Roman" w:hAnsi="Times New Roman" w:cs="Times New Roman"/>
          <w:sz w:val="24"/>
          <w:szCs w:val="24"/>
        </w:rPr>
      </w:pPr>
    </w:p>
    <w:p w14:paraId="3CBDE512" w14:textId="77777777" w:rsidR="00A548A2" w:rsidRDefault="00A548A2" w:rsidP="009D3BF9">
      <w:pPr>
        <w:autoSpaceDE w:val="0"/>
        <w:autoSpaceDN w:val="0"/>
        <w:ind w:left="426"/>
        <w:jc w:val="both"/>
        <w:rPr>
          <w:rFonts w:ascii="Times New Roman" w:hAnsi="Times New Roman" w:cs="Times New Roman"/>
          <w:sz w:val="24"/>
          <w:szCs w:val="24"/>
        </w:rPr>
      </w:pPr>
    </w:p>
    <w:p w14:paraId="0C45D0D4" w14:textId="77777777" w:rsidR="00FE75BD" w:rsidRPr="00FE75BD" w:rsidRDefault="00FE75BD" w:rsidP="009D3BF9">
      <w:pPr>
        <w:autoSpaceDE w:val="0"/>
        <w:autoSpaceDN w:val="0"/>
        <w:spacing w:before="100" w:beforeAutospacing="1" w:after="0" w:line="240" w:lineRule="auto"/>
        <w:ind w:left="426"/>
        <w:jc w:val="both"/>
        <w:rPr>
          <w:rFonts w:ascii="Times New Roman" w:eastAsia="Calibri" w:hAnsi="Times New Roman" w:cs="Times New Roman"/>
          <w:color w:val="000000"/>
          <w:sz w:val="24"/>
          <w:szCs w:val="24"/>
          <w:lang w:eastAsia="it-IT"/>
        </w:rPr>
      </w:pPr>
    </w:p>
    <w:p w14:paraId="12A73A7E" w14:textId="77777777" w:rsidR="00497A7B" w:rsidRPr="00497A7B" w:rsidRDefault="00497A7B" w:rsidP="009D3BF9">
      <w:pPr>
        <w:autoSpaceDE w:val="0"/>
        <w:autoSpaceDN w:val="0"/>
        <w:spacing w:before="100" w:beforeAutospacing="1" w:after="0" w:line="240" w:lineRule="auto"/>
        <w:ind w:left="426"/>
        <w:jc w:val="both"/>
        <w:rPr>
          <w:rFonts w:ascii="Calibri" w:eastAsia="Calibri" w:hAnsi="Calibri" w:cs="Calibri"/>
          <w:color w:val="000000"/>
          <w:sz w:val="24"/>
          <w:szCs w:val="24"/>
          <w:lang w:eastAsia="it-IT"/>
        </w:rPr>
      </w:pPr>
    </w:p>
    <w:p w14:paraId="632CF746" w14:textId="365BC10B" w:rsidR="0020762A" w:rsidRDefault="0020762A" w:rsidP="009D3BF9">
      <w:pPr>
        <w:jc w:val="both"/>
      </w:pPr>
    </w:p>
    <w:sectPr w:rsidR="0020762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E7D1F" w14:textId="77777777" w:rsidR="009B4A6A" w:rsidRDefault="009B4A6A" w:rsidP="00DE1115">
      <w:pPr>
        <w:spacing w:after="0" w:line="240" w:lineRule="auto"/>
      </w:pPr>
      <w:r>
        <w:separator/>
      </w:r>
    </w:p>
  </w:endnote>
  <w:endnote w:type="continuationSeparator" w:id="0">
    <w:p w14:paraId="589131DC" w14:textId="77777777" w:rsidR="009B4A6A" w:rsidRDefault="009B4A6A" w:rsidP="00DE1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CF87B" w14:textId="77777777" w:rsidR="00DE1115" w:rsidRDefault="00DE111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013A1" w14:textId="2E80EA41" w:rsidR="00DE1115" w:rsidRDefault="00DE1115">
    <w:pPr>
      <w:pStyle w:val="Pidipagina"/>
      <w:jc w:val="center"/>
      <w:rPr>
        <w:color w:val="4472C4" w:themeColor="accent1"/>
      </w:rPr>
    </w:pPr>
    <w:r>
      <w:rPr>
        <w:color w:val="4472C4" w:themeColor="accent1"/>
      </w:rPr>
      <w:t xml:space="preserve">Pag. </w:t>
    </w:r>
    <w:r>
      <w:rPr>
        <w:color w:val="4472C4" w:themeColor="accent1"/>
      </w:rPr>
      <w:fldChar w:fldCharType="begin"/>
    </w:r>
    <w:r>
      <w:rPr>
        <w:color w:val="4472C4" w:themeColor="accent1"/>
      </w:rPr>
      <w:instrText>PAGE  \* Arabic  \* MERGEFORMAT</w:instrText>
    </w:r>
    <w:r>
      <w:rPr>
        <w:color w:val="4472C4" w:themeColor="accent1"/>
      </w:rPr>
      <w:fldChar w:fldCharType="separate"/>
    </w:r>
    <w:r w:rsidR="009D3BF9">
      <w:rPr>
        <w:noProof/>
        <w:color w:val="4472C4" w:themeColor="accent1"/>
      </w:rPr>
      <w:t>2</w:t>
    </w:r>
    <w:r>
      <w:rPr>
        <w:color w:val="4472C4" w:themeColor="accent1"/>
      </w:rPr>
      <w:fldChar w:fldCharType="end"/>
    </w:r>
    <w:r>
      <w:rPr>
        <w:color w:val="4472C4" w:themeColor="accent1"/>
      </w:rPr>
      <w:t xml:space="preserve"> di </w:t>
    </w:r>
    <w:r>
      <w:rPr>
        <w:color w:val="4472C4" w:themeColor="accent1"/>
      </w:rPr>
      <w:fldChar w:fldCharType="begin"/>
    </w:r>
    <w:r>
      <w:rPr>
        <w:color w:val="4472C4" w:themeColor="accent1"/>
      </w:rPr>
      <w:instrText>NUMPAGES  \* Arabic  \* MERGEFORMAT</w:instrText>
    </w:r>
    <w:r>
      <w:rPr>
        <w:color w:val="4472C4" w:themeColor="accent1"/>
      </w:rPr>
      <w:fldChar w:fldCharType="separate"/>
    </w:r>
    <w:r w:rsidR="009D3BF9">
      <w:rPr>
        <w:noProof/>
        <w:color w:val="4472C4" w:themeColor="accent1"/>
      </w:rPr>
      <w:t>2</w:t>
    </w:r>
    <w:r>
      <w:rPr>
        <w:color w:val="4472C4" w:themeColor="accent1"/>
      </w:rPr>
      <w:fldChar w:fldCharType="end"/>
    </w:r>
  </w:p>
  <w:p w14:paraId="5C7527C6" w14:textId="77777777" w:rsidR="00DE1115" w:rsidRDefault="00DE111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7D917" w14:textId="77777777" w:rsidR="00DE1115" w:rsidRDefault="00DE11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88B75" w14:textId="77777777" w:rsidR="009B4A6A" w:rsidRDefault="009B4A6A" w:rsidP="00DE1115">
      <w:pPr>
        <w:spacing w:after="0" w:line="240" w:lineRule="auto"/>
      </w:pPr>
      <w:r>
        <w:separator/>
      </w:r>
    </w:p>
  </w:footnote>
  <w:footnote w:type="continuationSeparator" w:id="0">
    <w:p w14:paraId="2F0CE6F0" w14:textId="77777777" w:rsidR="009B4A6A" w:rsidRDefault="009B4A6A" w:rsidP="00DE1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0E7DF" w14:textId="77777777" w:rsidR="00DE1115" w:rsidRDefault="00DE11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B52C5" w14:textId="77777777" w:rsidR="00DE1115" w:rsidRDefault="00DE111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B5BFC" w14:textId="77777777" w:rsidR="00DE1115" w:rsidRDefault="00DE11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E45EC"/>
    <w:multiLevelType w:val="hybridMultilevel"/>
    <w:tmpl w:val="0F98AD4C"/>
    <w:lvl w:ilvl="0" w:tplc="A21C9EEA">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AA1150F"/>
    <w:multiLevelType w:val="hybridMultilevel"/>
    <w:tmpl w:val="3EEAE77E"/>
    <w:lvl w:ilvl="0" w:tplc="04100011">
      <w:start w:val="1"/>
      <w:numFmt w:val="decimal"/>
      <w:lvlText w:val="%1)"/>
      <w:lvlJc w:val="left"/>
      <w:pPr>
        <w:ind w:left="135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50F1821"/>
    <w:multiLevelType w:val="hybridMultilevel"/>
    <w:tmpl w:val="5EC63A5C"/>
    <w:lvl w:ilvl="0" w:tplc="04100017">
      <w:start w:val="1"/>
      <w:numFmt w:val="lowerLetter"/>
      <w:lvlText w:val="%1)"/>
      <w:lvlJc w:val="left"/>
      <w:pPr>
        <w:ind w:left="1440" w:hanging="360"/>
      </w:pPr>
      <w:rPr>
        <w:rFonts w:hint="default"/>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5F080B5E"/>
    <w:multiLevelType w:val="multilevel"/>
    <w:tmpl w:val="988CC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18D"/>
    <w:rsid w:val="000C5B9C"/>
    <w:rsid w:val="00146653"/>
    <w:rsid w:val="0020762A"/>
    <w:rsid w:val="00331EEF"/>
    <w:rsid w:val="00362F00"/>
    <w:rsid w:val="00480D03"/>
    <w:rsid w:val="00497A7B"/>
    <w:rsid w:val="004E1722"/>
    <w:rsid w:val="0050251B"/>
    <w:rsid w:val="0051318D"/>
    <w:rsid w:val="00513D29"/>
    <w:rsid w:val="0058503D"/>
    <w:rsid w:val="005E59B9"/>
    <w:rsid w:val="00647FC8"/>
    <w:rsid w:val="006567BF"/>
    <w:rsid w:val="006D7919"/>
    <w:rsid w:val="00770A3F"/>
    <w:rsid w:val="00775873"/>
    <w:rsid w:val="007A5DB7"/>
    <w:rsid w:val="007C4C62"/>
    <w:rsid w:val="00810026"/>
    <w:rsid w:val="00874DBB"/>
    <w:rsid w:val="008D7765"/>
    <w:rsid w:val="009112F5"/>
    <w:rsid w:val="0091764A"/>
    <w:rsid w:val="009B4A6A"/>
    <w:rsid w:val="009D3BF9"/>
    <w:rsid w:val="00A36306"/>
    <w:rsid w:val="00A53737"/>
    <w:rsid w:val="00A548A2"/>
    <w:rsid w:val="00AB6A87"/>
    <w:rsid w:val="00B83AA5"/>
    <w:rsid w:val="00BA3707"/>
    <w:rsid w:val="00BA49C5"/>
    <w:rsid w:val="00BA63B4"/>
    <w:rsid w:val="00BA649A"/>
    <w:rsid w:val="00D01D6E"/>
    <w:rsid w:val="00D152F4"/>
    <w:rsid w:val="00D15AF0"/>
    <w:rsid w:val="00D522F5"/>
    <w:rsid w:val="00D5626D"/>
    <w:rsid w:val="00D83710"/>
    <w:rsid w:val="00DA29C6"/>
    <w:rsid w:val="00DD4EE8"/>
    <w:rsid w:val="00DE1115"/>
    <w:rsid w:val="00E63E6B"/>
    <w:rsid w:val="00F90176"/>
    <w:rsid w:val="00FE75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7D4F"/>
  <w15:chartTrackingRefBased/>
  <w15:docId w15:val="{ECC7DA8B-B654-42B8-9B87-6E376D83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0762A"/>
    <w:pPr>
      <w:ind w:left="720"/>
      <w:contextualSpacing/>
    </w:pPr>
  </w:style>
  <w:style w:type="paragraph" w:styleId="Intestazione">
    <w:name w:val="header"/>
    <w:basedOn w:val="Normale"/>
    <w:link w:val="IntestazioneCarattere"/>
    <w:uiPriority w:val="99"/>
    <w:unhideWhenUsed/>
    <w:rsid w:val="00DE11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1115"/>
  </w:style>
  <w:style w:type="paragraph" w:styleId="Pidipagina">
    <w:name w:val="footer"/>
    <w:basedOn w:val="Normale"/>
    <w:link w:val="PidipaginaCarattere"/>
    <w:uiPriority w:val="99"/>
    <w:unhideWhenUsed/>
    <w:rsid w:val="00DE11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1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570941">
      <w:bodyDiv w:val="1"/>
      <w:marLeft w:val="0"/>
      <w:marRight w:val="0"/>
      <w:marTop w:val="0"/>
      <w:marBottom w:val="0"/>
      <w:divBdr>
        <w:top w:val="none" w:sz="0" w:space="0" w:color="auto"/>
        <w:left w:val="none" w:sz="0" w:space="0" w:color="auto"/>
        <w:bottom w:val="none" w:sz="0" w:space="0" w:color="auto"/>
        <w:right w:val="none" w:sz="0" w:space="0" w:color="auto"/>
      </w:divBdr>
    </w:div>
    <w:div w:id="925110189">
      <w:bodyDiv w:val="1"/>
      <w:marLeft w:val="0"/>
      <w:marRight w:val="0"/>
      <w:marTop w:val="0"/>
      <w:marBottom w:val="0"/>
      <w:divBdr>
        <w:top w:val="none" w:sz="0" w:space="0" w:color="auto"/>
        <w:left w:val="none" w:sz="0" w:space="0" w:color="auto"/>
        <w:bottom w:val="none" w:sz="0" w:space="0" w:color="auto"/>
        <w:right w:val="none" w:sz="0" w:space="0" w:color="auto"/>
      </w:divBdr>
    </w:div>
    <w:div w:id="1161778917">
      <w:bodyDiv w:val="1"/>
      <w:marLeft w:val="0"/>
      <w:marRight w:val="0"/>
      <w:marTop w:val="0"/>
      <w:marBottom w:val="0"/>
      <w:divBdr>
        <w:top w:val="none" w:sz="0" w:space="0" w:color="auto"/>
        <w:left w:val="none" w:sz="0" w:space="0" w:color="auto"/>
        <w:bottom w:val="none" w:sz="0" w:space="0" w:color="auto"/>
        <w:right w:val="none" w:sz="0" w:space="0" w:color="auto"/>
      </w:divBdr>
    </w:div>
    <w:div w:id="1304774703">
      <w:bodyDiv w:val="1"/>
      <w:marLeft w:val="0"/>
      <w:marRight w:val="0"/>
      <w:marTop w:val="0"/>
      <w:marBottom w:val="0"/>
      <w:divBdr>
        <w:top w:val="none" w:sz="0" w:space="0" w:color="auto"/>
        <w:left w:val="none" w:sz="0" w:space="0" w:color="auto"/>
        <w:bottom w:val="none" w:sz="0" w:space="0" w:color="auto"/>
        <w:right w:val="none" w:sz="0" w:space="0" w:color="auto"/>
      </w:divBdr>
    </w:div>
    <w:div w:id="173423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4686</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Bottillo</dc:creator>
  <cp:keywords/>
  <dc:description/>
  <cp:lastModifiedBy>Cdd</cp:lastModifiedBy>
  <cp:revision>2</cp:revision>
  <cp:lastPrinted>2023-01-16T13:54:00Z</cp:lastPrinted>
  <dcterms:created xsi:type="dcterms:W3CDTF">2023-01-16T15:56:00Z</dcterms:created>
  <dcterms:modified xsi:type="dcterms:W3CDTF">2023-01-16T15:56:00Z</dcterms:modified>
</cp:coreProperties>
</file>