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FDBF7B" w14:textId="77777777" w:rsidR="00DE04E3" w:rsidRDefault="00DE04E3" w:rsidP="00DE04E3">
      <w:pPr>
        <w:spacing w:after="0" w:line="240" w:lineRule="auto"/>
        <w:jc w:val="center"/>
        <w:rPr>
          <w:rFonts w:ascii="Calibri" w:eastAsia="Times New Roman" w:hAnsi="Calibri" w:cs="Calibri"/>
          <w:b/>
          <w:color w:val="000000"/>
          <w:sz w:val="32"/>
          <w:szCs w:val="24"/>
          <w:lang w:eastAsia="it-IT"/>
        </w:rPr>
      </w:pPr>
      <w:bookmarkStart w:id="0" w:name="_GoBack"/>
      <w:bookmarkEnd w:id="0"/>
      <w:r w:rsidRPr="00270B81">
        <w:rPr>
          <w:rFonts w:ascii="Calibri" w:eastAsia="Times New Roman" w:hAnsi="Calibri" w:cs="Calibri"/>
          <w:b/>
          <w:color w:val="000000"/>
          <w:sz w:val="32"/>
          <w:szCs w:val="24"/>
          <w:lang w:eastAsia="it-IT"/>
        </w:rPr>
        <w:t>MEMORIA PER XII COMMISSIONE SALUTE INDAGINE CENTRI ONCOFERTILITA’</w:t>
      </w:r>
    </w:p>
    <w:p w14:paraId="1DA7ADB3" w14:textId="77777777" w:rsidR="00DE04E3" w:rsidRPr="00270B81" w:rsidRDefault="00DE04E3" w:rsidP="00DE04E3">
      <w:pPr>
        <w:spacing w:after="0" w:line="240" w:lineRule="auto"/>
        <w:jc w:val="center"/>
        <w:rPr>
          <w:rFonts w:ascii="Calibri" w:eastAsia="Times New Roman" w:hAnsi="Calibri" w:cs="Calibri"/>
          <w:b/>
          <w:color w:val="000000"/>
          <w:sz w:val="32"/>
          <w:szCs w:val="24"/>
          <w:lang w:eastAsia="it-IT"/>
        </w:rPr>
      </w:pPr>
    </w:p>
    <w:p w14:paraId="44BF619A" w14:textId="77777777" w:rsidR="00DE04E3" w:rsidRPr="00186F7E" w:rsidRDefault="00DE04E3" w:rsidP="00DE04E3">
      <w:pPr>
        <w:spacing w:after="0" w:line="240" w:lineRule="auto"/>
        <w:rPr>
          <w:rFonts w:ascii="Calibri" w:eastAsia="Times New Roman" w:hAnsi="Calibri" w:cs="Calibri"/>
          <w:b/>
          <w:color w:val="000000"/>
          <w:sz w:val="24"/>
          <w:szCs w:val="24"/>
          <w:lang w:eastAsia="it-IT"/>
        </w:rPr>
      </w:pPr>
      <w:r w:rsidRPr="00186F7E">
        <w:rPr>
          <w:rFonts w:ascii="Calibri" w:eastAsia="Times New Roman" w:hAnsi="Calibri" w:cs="Calibri"/>
          <w:b/>
          <w:color w:val="000000"/>
          <w:sz w:val="24"/>
          <w:szCs w:val="24"/>
          <w:lang w:eastAsia="it-IT"/>
        </w:rPr>
        <w:t>Inquadramento della tematica</w:t>
      </w:r>
    </w:p>
    <w:p w14:paraId="7D1025E9" w14:textId="77777777" w:rsidR="00DE04E3" w:rsidRDefault="00DE04E3" w:rsidP="00DE04E3">
      <w:pPr>
        <w:spacing w:after="0" w:line="240" w:lineRule="auto"/>
        <w:jc w:val="both"/>
        <w:rPr>
          <w:rFonts w:ascii="Calibri" w:eastAsia="Times New Roman" w:hAnsi="Calibri" w:cs="Calibri"/>
          <w:color w:val="000000"/>
          <w:sz w:val="24"/>
          <w:szCs w:val="24"/>
          <w:lang w:eastAsia="it-IT"/>
        </w:rPr>
      </w:pPr>
      <w:r w:rsidRPr="00186F7E">
        <w:rPr>
          <w:rFonts w:ascii="Calibri" w:eastAsia="Times New Roman" w:hAnsi="Calibri" w:cs="Calibri"/>
          <w:color w:val="000000"/>
          <w:sz w:val="24"/>
          <w:szCs w:val="24"/>
          <w:lang w:eastAsia="it-IT"/>
        </w:rPr>
        <w:t>La prevenzione di sterilità o infertilità secondaria indotta dai trattamenti antitumorali e il successivo</w:t>
      </w:r>
      <w:r>
        <w:rPr>
          <w:rFonts w:ascii="Calibri" w:eastAsia="Times New Roman" w:hAnsi="Calibri" w:cs="Calibri"/>
          <w:color w:val="000000"/>
          <w:sz w:val="24"/>
          <w:szCs w:val="24"/>
          <w:lang w:eastAsia="it-IT"/>
        </w:rPr>
        <w:t xml:space="preserve"> </w:t>
      </w:r>
      <w:r w:rsidRPr="00186F7E">
        <w:rPr>
          <w:rFonts w:ascii="Calibri" w:eastAsia="Times New Roman" w:hAnsi="Calibri" w:cs="Calibri"/>
          <w:color w:val="000000"/>
          <w:sz w:val="24"/>
          <w:szCs w:val="24"/>
          <w:lang w:eastAsia="it-IT"/>
        </w:rPr>
        <w:t>supporto procreativo dei soggetti guariti, è una tematica di grande rilevanza socio-sanitaria, che sta</w:t>
      </w:r>
      <w:r>
        <w:rPr>
          <w:rFonts w:ascii="Calibri" w:eastAsia="Times New Roman" w:hAnsi="Calibri" w:cs="Calibri"/>
          <w:color w:val="000000"/>
          <w:sz w:val="24"/>
          <w:szCs w:val="24"/>
          <w:lang w:eastAsia="it-IT"/>
        </w:rPr>
        <w:t xml:space="preserve"> </w:t>
      </w:r>
      <w:r w:rsidRPr="00186F7E">
        <w:rPr>
          <w:rFonts w:ascii="Calibri" w:eastAsia="Times New Roman" w:hAnsi="Calibri" w:cs="Calibri"/>
          <w:color w:val="000000"/>
          <w:sz w:val="24"/>
          <w:szCs w:val="24"/>
          <w:lang w:eastAsia="it-IT"/>
        </w:rPr>
        <w:t>richiamando sempre più l’attenzione degli operatori sanitari, dei pazienti e degli organismi deputati</w:t>
      </w:r>
      <w:r>
        <w:rPr>
          <w:rFonts w:ascii="Calibri" w:eastAsia="Times New Roman" w:hAnsi="Calibri" w:cs="Calibri"/>
          <w:color w:val="000000"/>
          <w:sz w:val="24"/>
          <w:szCs w:val="24"/>
          <w:lang w:eastAsia="it-IT"/>
        </w:rPr>
        <w:t xml:space="preserve"> </w:t>
      </w:r>
      <w:r w:rsidRPr="00186F7E">
        <w:rPr>
          <w:rFonts w:ascii="Calibri" w:eastAsia="Times New Roman" w:hAnsi="Calibri" w:cs="Calibri"/>
          <w:color w:val="000000"/>
          <w:sz w:val="24"/>
          <w:szCs w:val="24"/>
          <w:lang w:eastAsia="it-IT"/>
        </w:rPr>
        <w:t>alla gestione e programmazione sanitaria.</w:t>
      </w:r>
      <w:r>
        <w:rPr>
          <w:rFonts w:ascii="Calibri" w:eastAsia="Times New Roman" w:hAnsi="Calibri" w:cs="Calibri"/>
          <w:color w:val="000000"/>
          <w:sz w:val="24"/>
          <w:szCs w:val="24"/>
          <w:lang w:eastAsia="it-IT"/>
        </w:rPr>
        <w:t xml:space="preserve"> </w:t>
      </w:r>
      <w:r w:rsidRPr="00186F7E">
        <w:rPr>
          <w:rFonts w:ascii="Calibri" w:eastAsia="Times New Roman" w:hAnsi="Calibri" w:cs="Calibri"/>
          <w:color w:val="000000"/>
          <w:sz w:val="24"/>
          <w:szCs w:val="24"/>
          <w:lang w:eastAsia="it-IT"/>
        </w:rPr>
        <w:t>Infatti, in Italia, circa 8-9 mila persone d’età compresa tra i 15 e i 39 anni si ammalano di tumore e</w:t>
      </w:r>
      <w:r>
        <w:rPr>
          <w:rFonts w:ascii="Calibri" w:eastAsia="Times New Roman" w:hAnsi="Calibri" w:cs="Calibri"/>
          <w:color w:val="000000"/>
          <w:sz w:val="24"/>
          <w:szCs w:val="24"/>
          <w:lang w:eastAsia="it-IT"/>
        </w:rPr>
        <w:t xml:space="preserve"> </w:t>
      </w:r>
      <w:r w:rsidRPr="00186F7E">
        <w:rPr>
          <w:rFonts w:ascii="Calibri" w:eastAsia="Times New Roman" w:hAnsi="Calibri" w:cs="Calibri"/>
          <w:color w:val="000000"/>
          <w:sz w:val="24"/>
          <w:szCs w:val="24"/>
          <w:lang w:eastAsia="it-IT"/>
        </w:rPr>
        <w:t>quindi si sottopongono a terapie farmacologiche, radianti e a interventi chirurgici che possono</w:t>
      </w:r>
      <w:r>
        <w:rPr>
          <w:rFonts w:ascii="Calibri" w:eastAsia="Times New Roman" w:hAnsi="Calibri" w:cs="Calibri"/>
          <w:color w:val="000000"/>
          <w:sz w:val="24"/>
          <w:szCs w:val="24"/>
          <w:lang w:eastAsia="it-IT"/>
        </w:rPr>
        <w:t xml:space="preserve"> </w:t>
      </w:r>
      <w:r w:rsidRPr="00186F7E">
        <w:rPr>
          <w:rFonts w:ascii="Calibri" w:eastAsia="Times New Roman" w:hAnsi="Calibri" w:cs="Calibri"/>
          <w:color w:val="000000"/>
          <w:sz w:val="24"/>
          <w:szCs w:val="24"/>
          <w:lang w:eastAsia="it-IT"/>
        </w:rPr>
        <w:t>limitare la loro capacità riproduttiva. Tra tali tumori, i 2/3 insorgono nella donna e di questi, circa</w:t>
      </w:r>
      <w:r>
        <w:rPr>
          <w:rFonts w:ascii="Calibri" w:eastAsia="Times New Roman" w:hAnsi="Calibri" w:cs="Calibri"/>
          <w:color w:val="000000"/>
          <w:sz w:val="24"/>
          <w:szCs w:val="24"/>
          <w:lang w:eastAsia="it-IT"/>
        </w:rPr>
        <w:t xml:space="preserve"> </w:t>
      </w:r>
      <w:r w:rsidRPr="00186F7E">
        <w:rPr>
          <w:rFonts w:ascii="Calibri" w:eastAsia="Times New Roman" w:hAnsi="Calibri" w:cs="Calibri"/>
          <w:color w:val="000000"/>
          <w:sz w:val="24"/>
          <w:szCs w:val="24"/>
          <w:lang w:eastAsia="it-IT"/>
        </w:rPr>
        <w:t>il 40% sono tumori della mammella (http://www.registri-tumori.it). Tra i giovani maschi,</w:t>
      </w:r>
      <w:r>
        <w:rPr>
          <w:rFonts w:ascii="Calibri" w:eastAsia="Times New Roman" w:hAnsi="Calibri" w:cs="Calibri"/>
          <w:color w:val="000000"/>
          <w:sz w:val="24"/>
          <w:szCs w:val="24"/>
          <w:lang w:eastAsia="it-IT"/>
        </w:rPr>
        <w:t xml:space="preserve"> </w:t>
      </w:r>
      <w:r w:rsidRPr="00186F7E">
        <w:rPr>
          <w:rFonts w:ascii="Calibri" w:eastAsia="Times New Roman" w:hAnsi="Calibri" w:cs="Calibri"/>
          <w:color w:val="000000"/>
          <w:sz w:val="24"/>
          <w:szCs w:val="24"/>
          <w:lang w:eastAsia="it-IT"/>
        </w:rPr>
        <w:t>prevalgono i tumori del testicolo e i linfomi. Si tratta, quindi, nella grande maggioranza dei casi, di</w:t>
      </w:r>
      <w:r>
        <w:rPr>
          <w:rFonts w:ascii="Calibri" w:eastAsia="Times New Roman" w:hAnsi="Calibri" w:cs="Calibri"/>
          <w:color w:val="000000"/>
          <w:sz w:val="24"/>
          <w:szCs w:val="24"/>
          <w:lang w:eastAsia="it-IT"/>
        </w:rPr>
        <w:t xml:space="preserve"> </w:t>
      </w:r>
      <w:r w:rsidRPr="00186F7E">
        <w:rPr>
          <w:rFonts w:ascii="Calibri" w:eastAsia="Times New Roman" w:hAnsi="Calibri" w:cs="Calibri"/>
          <w:color w:val="000000"/>
          <w:sz w:val="24"/>
          <w:szCs w:val="24"/>
          <w:lang w:eastAsia="it-IT"/>
        </w:rPr>
        <w:t>tumori ad elevato tasso di guaribilità.</w:t>
      </w:r>
      <w:r>
        <w:rPr>
          <w:rFonts w:ascii="Calibri" w:eastAsia="Times New Roman" w:hAnsi="Calibri" w:cs="Calibri"/>
          <w:color w:val="000000"/>
          <w:sz w:val="24"/>
          <w:szCs w:val="24"/>
          <w:lang w:eastAsia="it-IT"/>
        </w:rPr>
        <w:t xml:space="preserve">  </w:t>
      </w:r>
      <w:r w:rsidRPr="00186F7E">
        <w:rPr>
          <w:rFonts w:ascii="Calibri" w:eastAsia="Times New Roman" w:hAnsi="Calibri" w:cs="Calibri"/>
          <w:color w:val="000000"/>
          <w:sz w:val="24"/>
          <w:szCs w:val="24"/>
          <w:lang w:eastAsia="it-IT"/>
        </w:rPr>
        <w:t>La diagnosi precoce del cancro e l'utilizzo di associazioni farmacologiche innovative hanno</w:t>
      </w:r>
      <w:r>
        <w:rPr>
          <w:rFonts w:ascii="Calibri" w:eastAsia="Times New Roman" w:hAnsi="Calibri" w:cs="Calibri"/>
          <w:color w:val="000000"/>
          <w:sz w:val="24"/>
          <w:szCs w:val="24"/>
          <w:lang w:eastAsia="it-IT"/>
        </w:rPr>
        <w:t xml:space="preserve"> </w:t>
      </w:r>
      <w:r w:rsidRPr="00186F7E">
        <w:rPr>
          <w:rFonts w:ascii="Calibri" w:eastAsia="Times New Roman" w:hAnsi="Calibri" w:cs="Calibri"/>
          <w:color w:val="000000"/>
          <w:sz w:val="24"/>
          <w:szCs w:val="24"/>
          <w:lang w:eastAsia="it-IT"/>
        </w:rPr>
        <w:t>migliorato notevolmente la prognosi della malattia determinando un numero crescente di</w:t>
      </w:r>
      <w:r>
        <w:rPr>
          <w:rFonts w:ascii="Calibri" w:eastAsia="Times New Roman" w:hAnsi="Calibri" w:cs="Calibri"/>
          <w:color w:val="000000"/>
          <w:sz w:val="24"/>
          <w:szCs w:val="24"/>
          <w:lang w:eastAsia="it-IT"/>
        </w:rPr>
        <w:t xml:space="preserve"> </w:t>
      </w:r>
      <w:r w:rsidRPr="00186F7E">
        <w:rPr>
          <w:rFonts w:ascii="Calibri" w:eastAsia="Times New Roman" w:hAnsi="Calibri" w:cs="Calibri"/>
          <w:color w:val="000000"/>
          <w:sz w:val="24"/>
          <w:szCs w:val="24"/>
          <w:lang w:eastAsia="it-IT"/>
        </w:rPr>
        <w:t>guarigioni, associato ad un incremento del tasso di infertilità, conseguente ai trattamenti. Gran parte</w:t>
      </w:r>
      <w:r>
        <w:rPr>
          <w:rFonts w:ascii="Calibri" w:eastAsia="Times New Roman" w:hAnsi="Calibri" w:cs="Calibri"/>
          <w:color w:val="000000"/>
          <w:sz w:val="24"/>
          <w:szCs w:val="24"/>
          <w:lang w:eastAsia="it-IT"/>
        </w:rPr>
        <w:t xml:space="preserve"> </w:t>
      </w:r>
      <w:r w:rsidRPr="00186F7E">
        <w:rPr>
          <w:rFonts w:ascii="Calibri" w:eastAsia="Times New Roman" w:hAnsi="Calibri" w:cs="Calibri"/>
          <w:color w:val="000000"/>
          <w:sz w:val="24"/>
          <w:szCs w:val="24"/>
          <w:lang w:eastAsia="it-IT"/>
        </w:rPr>
        <w:t>dei trattamenti chemioterapici utilizzati nella cura del cancro della mammella ha, infatti, un rischio</w:t>
      </w:r>
      <w:r>
        <w:rPr>
          <w:rFonts w:ascii="Calibri" w:eastAsia="Times New Roman" w:hAnsi="Calibri" w:cs="Calibri"/>
          <w:color w:val="000000"/>
          <w:sz w:val="24"/>
          <w:szCs w:val="24"/>
          <w:lang w:eastAsia="it-IT"/>
        </w:rPr>
        <w:t xml:space="preserve"> </w:t>
      </w:r>
      <w:r w:rsidRPr="00186F7E">
        <w:rPr>
          <w:rFonts w:ascii="Calibri" w:eastAsia="Times New Roman" w:hAnsi="Calibri" w:cs="Calibri"/>
          <w:color w:val="000000"/>
          <w:sz w:val="24"/>
          <w:szCs w:val="24"/>
          <w:lang w:eastAsia="it-IT"/>
        </w:rPr>
        <w:t>medio-alto di indurre amenorrea definitiva in questa fascia di età, determinando comunque anche</w:t>
      </w:r>
      <w:r>
        <w:rPr>
          <w:rFonts w:ascii="Calibri" w:eastAsia="Times New Roman" w:hAnsi="Calibri" w:cs="Calibri"/>
          <w:color w:val="000000"/>
          <w:sz w:val="24"/>
          <w:szCs w:val="24"/>
          <w:lang w:eastAsia="it-IT"/>
        </w:rPr>
        <w:t xml:space="preserve"> </w:t>
      </w:r>
      <w:r w:rsidRPr="00186F7E">
        <w:rPr>
          <w:rFonts w:ascii="Calibri" w:eastAsia="Times New Roman" w:hAnsi="Calibri" w:cs="Calibri"/>
          <w:color w:val="000000"/>
          <w:sz w:val="24"/>
          <w:szCs w:val="24"/>
          <w:lang w:eastAsia="it-IT"/>
        </w:rPr>
        <w:t>nelle donne in cui riprende il ciclo mestruale, una riduzione consistente della riserva funzionale</w:t>
      </w:r>
      <w:r>
        <w:rPr>
          <w:rFonts w:ascii="Calibri" w:eastAsia="Times New Roman" w:hAnsi="Calibri" w:cs="Calibri"/>
          <w:color w:val="000000"/>
          <w:sz w:val="24"/>
          <w:szCs w:val="24"/>
          <w:lang w:eastAsia="it-IT"/>
        </w:rPr>
        <w:t xml:space="preserve"> </w:t>
      </w:r>
      <w:r w:rsidRPr="00186F7E">
        <w:rPr>
          <w:rFonts w:ascii="Calibri" w:eastAsia="Times New Roman" w:hAnsi="Calibri" w:cs="Calibri"/>
          <w:color w:val="000000"/>
          <w:sz w:val="24"/>
          <w:szCs w:val="24"/>
          <w:lang w:eastAsia="it-IT"/>
        </w:rPr>
        <w:t>ovarica. Nelle donne i trattamenti chemioterapici, che esplicano effetto gonadotossico, portano al</w:t>
      </w:r>
      <w:r>
        <w:rPr>
          <w:rFonts w:ascii="Calibri" w:eastAsia="Times New Roman" w:hAnsi="Calibri" w:cs="Calibri"/>
          <w:color w:val="000000"/>
          <w:sz w:val="24"/>
          <w:szCs w:val="24"/>
          <w:lang w:eastAsia="it-IT"/>
        </w:rPr>
        <w:t xml:space="preserve"> </w:t>
      </w:r>
      <w:r w:rsidRPr="00186F7E">
        <w:rPr>
          <w:rFonts w:ascii="Calibri" w:eastAsia="Times New Roman" w:hAnsi="Calibri" w:cs="Calibri"/>
          <w:color w:val="000000"/>
          <w:sz w:val="24"/>
          <w:szCs w:val="24"/>
          <w:lang w:eastAsia="it-IT"/>
        </w:rPr>
        <w:t>rapido esaurimento della riserva follicolare ovarica e alla perdita di fertilità.</w:t>
      </w:r>
      <w:r>
        <w:rPr>
          <w:rFonts w:ascii="Calibri" w:eastAsia="Times New Roman" w:hAnsi="Calibri" w:cs="Calibri"/>
          <w:color w:val="000000"/>
          <w:sz w:val="24"/>
          <w:szCs w:val="24"/>
          <w:lang w:eastAsia="it-IT"/>
        </w:rPr>
        <w:t xml:space="preserve"> </w:t>
      </w:r>
      <w:r w:rsidRPr="00186F7E">
        <w:rPr>
          <w:rFonts w:ascii="Calibri" w:eastAsia="Times New Roman" w:hAnsi="Calibri" w:cs="Calibri"/>
          <w:color w:val="000000"/>
          <w:sz w:val="24"/>
          <w:szCs w:val="24"/>
          <w:lang w:eastAsia="it-IT"/>
        </w:rPr>
        <w:t>È noto infatti che i trattamenti antiblastici danneggiano la funzionalità ovarica proprio perché</w:t>
      </w:r>
      <w:r>
        <w:rPr>
          <w:rFonts w:ascii="Calibri" w:eastAsia="Times New Roman" w:hAnsi="Calibri" w:cs="Calibri"/>
          <w:color w:val="000000"/>
          <w:sz w:val="24"/>
          <w:szCs w:val="24"/>
          <w:lang w:eastAsia="it-IT"/>
        </w:rPr>
        <w:t xml:space="preserve"> </w:t>
      </w:r>
      <w:r w:rsidRPr="00186F7E">
        <w:rPr>
          <w:rFonts w:ascii="Calibri" w:eastAsia="Times New Roman" w:hAnsi="Calibri" w:cs="Calibri"/>
          <w:color w:val="000000"/>
          <w:sz w:val="24"/>
          <w:szCs w:val="24"/>
          <w:lang w:eastAsia="it-IT"/>
        </w:rPr>
        <w:t>riducono il numero dei follicoli primordiali; il danno viene inoltre potenziato dagli effetti negativi</w:t>
      </w:r>
      <w:r>
        <w:rPr>
          <w:rFonts w:ascii="Calibri" w:eastAsia="Times New Roman" w:hAnsi="Calibri" w:cs="Calibri"/>
          <w:color w:val="000000"/>
          <w:sz w:val="24"/>
          <w:szCs w:val="24"/>
          <w:lang w:eastAsia="it-IT"/>
        </w:rPr>
        <w:t xml:space="preserve"> </w:t>
      </w:r>
      <w:r w:rsidRPr="00186F7E">
        <w:rPr>
          <w:rFonts w:ascii="Calibri" w:eastAsia="Times New Roman" w:hAnsi="Calibri" w:cs="Calibri"/>
          <w:color w:val="000000"/>
          <w:sz w:val="24"/>
          <w:szCs w:val="24"/>
          <w:lang w:eastAsia="it-IT"/>
        </w:rPr>
        <w:t>sulla produzione ormonale e dall’interferenza sul funzionamento di utero e tube. Questo significa</w:t>
      </w:r>
      <w:r>
        <w:rPr>
          <w:rFonts w:ascii="Calibri" w:eastAsia="Times New Roman" w:hAnsi="Calibri" w:cs="Calibri"/>
          <w:color w:val="000000"/>
          <w:sz w:val="24"/>
          <w:szCs w:val="24"/>
          <w:lang w:eastAsia="it-IT"/>
        </w:rPr>
        <w:t xml:space="preserve"> </w:t>
      </w:r>
      <w:r w:rsidRPr="00186F7E">
        <w:rPr>
          <w:rFonts w:ascii="Calibri" w:eastAsia="Times New Roman" w:hAnsi="Calibri" w:cs="Calibri"/>
          <w:color w:val="000000"/>
          <w:sz w:val="24"/>
          <w:szCs w:val="24"/>
          <w:lang w:eastAsia="it-IT"/>
        </w:rPr>
        <w:t>che la fertilità femminile residua può uscirne irreparabilmente compromessa, nonostante la</w:t>
      </w:r>
      <w:r>
        <w:rPr>
          <w:rFonts w:ascii="Calibri" w:eastAsia="Times New Roman" w:hAnsi="Calibri" w:cs="Calibri"/>
          <w:color w:val="000000"/>
          <w:sz w:val="24"/>
          <w:szCs w:val="24"/>
          <w:lang w:eastAsia="it-IT"/>
        </w:rPr>
        <w:t xml:space="preserve"> </w:t>
      </w:r>
      <w:r w:rsidRPr="00186F7E">
        <w:rPr>
          <w:rFonts w:ascii="Calibri" w:eastAsia="Times New Roman" w:hAnsi="Calibri" w:cs="Calibri"/>
          <w:color w:val="000000"/>
          <w:sz w:val="24"/>
          <w:szCs w:val="24"/>
          <w:lang w:eastAsia="it-IT"/>
        </w:rPr>
        <w:t>paziente continui - o riprenda – a mestruare regolarmente, e che la probabilità di un prematuro</w:t>
      </w:r>
      <w:r>
        <w:rPr>
          <w:rFonts w:ascii="Calibri" w:eastAsia="Times New Roman" w:hAnsi="Calibri" w:cs="Calibri"/>
          <w:color w:val="000000"/>
          <w:sz w:val="24"/>
          <w:szCs w:val="24"/>
          <w:lang w:eastAsia="it-IT"/>
        </w:rPr>
        <w:t xml:space="preserve"> </w:t>
      </w:r>
      <w:r w:rsidRPr="00186F7E">
        <w:rPr>
          <w:rFonts w:ascii="Calibri" w:eastAsia="Times New Roman" w:hAnsi="Calibri" w:cs="Calibri"/>
          <w:color w:val="000000"/>
          <w:sz w:val="24"/>
          <w:szCs w:val="24"/>
          <w:lang w:eastAsia="it-IT"/>
        </w:rPr>
        <w:t>esaurimento ovarico (POF) è un’eventualità tutt’altro che remota.</w:t>
      </w:r>
      <w:r>
        <w:rPr>
          <w:rFonts w:ascii="Calibri" w:eastAsia="Times New Roman" w:hAnsi="Calibri" w:cs="Calibri"/>
          <w:color w:val="000000"/>
          <w:sz w:val="24"/>
          <w:szCs w:val="24"/>
          <w:lang w:eastAsia="it-IT"/>
        </w:rPr>
        <w:t xml:space="preserve"> </w:t>
      </w:r>
      <w:r w:rsidRPr="00186F7E">
        <w:rPr>
          <w:rFonts w:ascii="Calibri" w:eastAsia="Times New Roman" w:hAnsi="Calibri" w:cs="Calibri"/>
          <w:color w:val="000000"/>
          <w:sz w:val="24"/>
          <w:szCs w:val="24"/>
          <w:lang w:eastAsia="it-IT"/>
        </w:rPr>
        <w:t>Nel maschio i farmaci bloccano la spermatogenesi e alterano la funzione delle cellule di Leydig,</w:t>
      </w:r>
      <w:r>
        <w:rPr>
          <w:rFonts w:ascii="Calibri" w:eastAsia="Times New Roman" w:hAnsi="Calibri" w:cs="Calibri"/>
          <w:color w:val="000000"/>
          <w:sz w:val="24"/>
          <w:szCs w:val="24"/>
          <w:lang w:eastAsia="it-IT"/>
        </w:rPr>
        <w:t xml:space="preserve"> </w:t>
      </w:r>
      <w:r w:rsidRPr="00186F7E">
        <w:rPr>
          <w:rFonts w:ascii="Calibri" w:eastAsia="Times New Roman" w:hAnsi="Calibri" w:cs="Calibri"/>
          <w:color w:val="000000"/>
          <w:sz w:val="24"/>
          <w:szCs w:val="24"/>
          <w:lang w:eastAsia="it-IT"/>
        </w:rPr>
        <w:t>deputate alla secrezione di ormoni maschili.</w:t>
      </w:r>
      <w:r>
        <w:rPr>
          <w:rFonts w:ascii="Calibri" w:eastAsia="Times New Roman" w:hAnsi="Calibri" w:cs="Calibri"/>
          <w:color w:val="000000"/>
          <w:sz w:val="24"/>
          <w:szCs w:val="24"/>
          <w:lang w:eastAsia="it-IT"/>
        </w:rPr>
        <w:t xml:space="preserve"> </w:t>
      </w:r>
      <w:r w:rsidRPr="00186F7E">
        <w:rPr>
          <w:rFonts w:ascii="Calibri" w:eastAsia="Times New Roman" w:hAnsi="Calibri" w:cs="Calibri"/>
          <w:color w:val="000000"/>
          <w:sz w:val="24"/>
          <w:szCs w:val="24"/>
          <w:lang w:eastAsia="it-IT"/>
        </w:rPr>
        <w:t>I pazienti giovani affetti da tumore hanno un forte desiderio di poter avere in futuro dei figli, come</w:t>
      </w:r>
      <w:r>
        <w:rPr>
          <w:rFonts w:ascii="Calibri" w:eastAsia="Times New Roman" w:hAnsi="Calibri" w:cs="Calibri"/>
          <w:color w:val="000000"/>
          <w:sz w:val="24"/>
          <w:szCs w:val="24"/>
          <w:lang w:eastAsia="it-IT"/>
        </w:rPr>
        <w:t xml:space="preserve"> </w:t>
      </w:r>
      <w:r w:rsidRPr="00186F7E">
        <w:rPr>
          <w:rFonts w:ascii="Calibri" w:eastAsia="Times New Roman" w:hAnsi="Calibri" w:cs="Calibri"/>
          <w:color w:val="000000"/>
          <w:sz w:val="24"/>
          <w:szCs w:val="24"/>
          <w:lang w:eastAsia="it-IT"/>
        </w:rPr>
        <w:t>dimostrano numerosi studi internazionali. È necessario pertanto che i pazienti (o i loro genitori in</w:t>
      </w:r>
      <w:r>
        <w:rPr>
          <w:rFonts w:ascii="Calibri" w:eastAsia="Times New Roman" w:hAnsi="Calibri" w:cs="Calibri"/>
          <w:color w:val="000000"/>
          <w:sz w:val="24"/>
          <w:szCs w:val="24"/>
          <w:lang w:eastAsia="it-IT"/>
        </w:rPr>
        <w:t xml:space="preserve"> </w:t>
      </w:r>
      <w:r w:rsidRPr="00186F7E">
        <w:rPr>
          <w:rFonts w:ascii="Calibri" w:eastAsia="Times New Roman" w:hAnsi="Calibri" w:cs="Calibri"/>
          <w:color w:val="000000"/>
          <w:sz w:val="24"/>
          <w:szCs w:val="24"/>
          <w:lang w:eastAsia="it-IT"/>
        </w:rPr>
        <w:t>caso di minori) siano resi consapevoli, dal personale sanitario adeguatamente formato, sulle</w:t>
      </w:r>
      <w:r>
        <w:rPr>
          <w:rFonts w:ascii="Calibri" w:eastAsia="Times New Roman" w:hAnsi="Calibri" w:cs="Calibri"/>
          <w:color w:val="000000"/>
          <w:sz w:val="24"/>
          <w:szCs w:val="24"/>
          <w:lang w:eastAsia="it-IT"/>
        </w:rPr>
        <w:t xml:space="preserve"> </w:t>
      </w:r>
      <w:r w:rsidRPr="00186F7E">
        <w:rPr>
          <w:rFonts w:ascii="Calibri" w:eastAsia="Times New Roman" w:hAnsi="Calibri" w:cs="Calibri"/>
          <w:color w:val="000000"/>
          <w:sz w:val="24"/>
          <w:szCs w:val="24"/>
          <w:lang w:eastAsia="it-IT"/>
        </w:rPr>
        <w:t>opportunità di conservare la fertilità e che questa sia considerata una delle tappe cruciali per la</w:t>
      </w:r>
      <w:r>
        <w:rPr>
          <w:rFonts w:ascii="Calibri" w:eastAsia="Times New Roman" w:hAnsi="Calibri" w:cs="Calibri"/>
          <w:color w:val="000000"/>
          <w:sz w:val="24"/>
          <w:szCs w:val="24"/>
          <w:lang w:eastAsia="it-IT"/>
        </w:rPr>
        <w:t xml:space="preserve"> </w:t>
      </w:r>
      <w:r w:rsidRPr="00186F7E">
        <w:rPr>
          <w:rFonts w:ascii="Calibri" w:eastAsia="Times New Roman" w:hAnsi="Calibri" w:cs="Calibri"/>
          <w:color w:val="000000"/>
          <w:sz w:val="24"/>
          <w:szCs w:val="24"/>
          <w:lang w:eastAsia="it-IT"/>
        </w:rPr>
        <w:t>valutazione della qualità di vita, al fine di ridurre il forte impatto psicologico, derivato dalla</w:t>
      </w:r>
      <w:r>
        <w:rPr>
          <w:rFonts w:ascii="Calibri" w:eastAsia="Times New Roman" w:hAnsi="Calibri" w:cs="Calibri"/>
          <w:color w:val="000000"/>
          <w:sz w:val="24"/>
          <w:szCs w:val="24"/>
          <w:lang w:eastAsia="it-IT"/>
        </w:rPr>
        <w:t xml:space="preserve"> </w:t>
      </w:r>
      <w:r w:rsidRPr="00186F7E">
        <w:rPr>
          <w:rFonts w:ascii="Calibri" w:eastAsia="Times New Roman" w:hAnsi="Calibri" w:cs="Calibri"/>
          <w:color w:val="000000"/>
          <w:sz w:val="24"/>
          <w:szCs w:val="24"/>
          <w:lang w:eastAsia="it-IT"/>
        </w:rPr>
        <w:t>possibile sterilità o infertilità secondaria dovuto ai trattamenti antitumorali.</w:t>
      </w:r>
      <w:r>
        <w:rPr>
          <w:rFonts w:ascii="Calibri" w:eastAsia="Times New Roman" w:hAnsi="Calibri" w:cs="Calibri"/>
          <w:color w:val="000000"/>
          <w:sz w:val="24"/>
          <w:szCs w:val="24"/>
          <w:lang w:eastAsia="it-IT"/>
        </w:rPr>
        <w:t xml:space="preserve"> L</w:t>
      </w:r>
      <w:r w:rsidRPr="00186F7E">
        <w:rPr>
          <w:rFonts w:ascii="Calibri" w:eastAsia="Times New Roman" w:hAnsi="Calibri" w:cs="Calibri"/>
          <w:color w:val="000000"/>
          <w:sz w:val="24"/>
          <w:szCs w:val="24"/>
          <w:lang w:eastAsia="it-IT"/>
        </w:rPr>
        <w:t xml:space="preserve">a mancanza </w:t>
      </w:r>
      <w:r>
        <w:rPr>
          <w:rFonts w:ascii="Calibri" w:eastAsia="Times New Roman" w:hAnsi="Calibri" w:cs="Calibri"/>
          <w:color w:val="000000"/>
          <w:sz w:val="24"/>
          <w:szCs w:val="24"/>
          <w:lang w:eastAsia="it-IT"/>
        </w:rPr>
        <w:t xml:space="preserve">di una raccolta dati sistematica a livello nazionale e quindi </w:t>
      </w:r>
      <w:r w:rsidRPr="00186F7E">
        <w:rPr>
          <w:rFonts w:ascii="Calibri" w:eastAsia="Times New Roman" w:hAnsi="Calibri" w:cs="Calibri"/>
          <w:color w:val="000000"/>
          <w:sz w:val="24"/>
          <w:szCs w:val="24"/>
          <w:lang w:eastAsia="it-IT"/>
        </w:rPr>
        <w:t>di un network nazionale che veda la partecipazione degli istituti di ricerca, dei centri</w:t>
      </w:r>
      <w:r>
        <w:rPr>
          <w:rFonts w:ascii="Calibri" w:eastAsia="Times New Roman" w:hAnsi="Calibri" w:cs="Calibri"/>
          <w:color w:val="000000"/>
          <w:sz w:val="24"/>
          <w:szCs w:val="24"/>
          <w:lang w:eastAsia="it-IT"/>
        </w:rPr>
        <w:t xml:space="preserve"> </w:t>
      </w:r>
      <w:r w:rsidRPr="00186F7E">
        <w:rPr>
          <w:rFonts w:ascii="Calibri" w:eastAsia="Times New Roman" w:hAnsi="Calibri" w:cs="Calibri"/>
          <w:color w:val="000000"/>
          <w:sz w:val="24"/>
          <w:szCs w:val="24"/>
          <w:lang w:eastAsia="it-IT"/>
        </w:rPr>
        <w:t>di PMA pubblici e/o privati convenzionati, esperti nell’applicazione di trattamenti di preservazione</w:t>
      </w:r>
      <w:r>
        <w:rPr>
          <w:rFonts w:ascii="Calibri" w:eastAsia="Times New Roman" w:hAnsi="Calibri" w:cs="Calibri"/>
          <w:color w:val="000000"/>
          <w:sz w:val="24"/>
          <w:szCs w:val="24"/>
          <w:lang w:eastAsia="it-IT"/>
        </w:rPr>
        <w:t xml:space="preserve"> </w:t>
      </w:r>
      <w:r w:rsidRPr="00186F7E">
        <w:rPr>
          <w:rFonts w:ascii="Calibri" w:eastAsia="Times New Roman" w:hAnsi="Calibri" w:cs="Calibri"/>
          <w:color w:val="000000"/>
          <w:sz w:val="24"/>
          <w:szCs w:val="24"/>
          <w:lang w:eastAsia="it-IT"/>
        </w:rPr>
        <w:t>della fertilità in pazienti oncologici, non permette di quantificare l’entità del problema e di</w:t>
      </w:r>
      <w:r>
        <w:rPr>
          <w:rFonts w:ascii="Calibri" w:eastAsia="Times New Roman" w:hAnsi="Calibri" w:cs="Calibri"/>
          <w:color w:val="000000"/>
          <w:sz w:val="24"/>
          <w:szCs w:val="24"/>
          <w:lang w:eastAsia="it-IT"/>
        </w:rPr>
        <w:t xml:space="preserve"> </w:t>
      </w:r>
      <w:r w:rsidRPr="00186F7E">
        <w:rPr>
          <w:rFonts w:ascii="Calibri" w:eastAsia="Times New Roman" w:hAnsi="Calibri" w:cs="Calibri"/>
          <w:color w:val="000000"/>
          <w:sz w:val="24"/>
          <w:szCs w:val="24"/>
          <w:lang w:eastAsia="it-IT"/>
        </w:rPr>
        <w:t>monitorare se l’offerta e l’applicazione delle tecniche sia adeguata per le esigenze della popolazione</w:t>
      </w:r>
      <w:r>
        <w:rPr>
          <w:rFonts w:ascii="Calibri" w:eastAsia="Times New Roman" w:hAnsi="Calibri" w:cs="Calibri"/>
          <w:color w:val="000000"/>
          <w:sz w:val="24"/>
          <w:szCs w:val="24"/>
          <w:lang w:eastAsia="it-IT"/>
        </w:rPr>
        <w:t xml:space="preserve"> </w:t>
      </w:r>
      <w:r w:rsidRPr="00186F7E">
        <w:rPr>
          <w:rFonts w:ascii="Calibri" w:eastAsia="Times New Roman" w:hAnsi="Calibri" w:cs="Calibri"/>
          <w:color w:val="000000"/>
          <w:sz w:val="24"/>
          <w:szCs w:val="24"/>
          <w:lang w:eastAsia="it-IT"/>
        </w:rPr>
        <w:t>in oggetto e di stabilire in futuro un livello standard di efficacia e sicurezza per tali procedure.</w:t>
      </w:r>
    </w:p>
    <w:p w14:paraId="6F8B5B18" w14:textId="77777777" w:rsidR="00DE04E3" w:rsidRDefault="00DE04E3" w:rsidP="00DE04E3">
      <w:pPr>
        <w:spacing w:after="0" w:line="240" w:lineRule="auto"/>
        <w:jc w:val="both"/>
        <w:rPr>
          <w:rFonts w:ascii="Calibri" w:eastAsia="Times New Roman" w:hAnsi="Calibri" w:cs="Calibri"/>
          <w:color w:val="000000"/>
          <w:sz w:val="24"/>
          <w:szCs w:val="24"/>
          <w:lang w:eastAsia="it-IT"/>
        </w:rPr>
      </w:pPr>
    </w:p>
    <w:p w14:paraId="5A5214BB" w14:textId="77777777" w:rsidR="00DE04E3" w:rsidRDefault="00DE04E3" w:rsidP="00DE04E3">
      <w:pPr>
        <w:spacing w:after="0" w:line="240" w:lineRule="auto"/>
        <w:rPr>
          <w:rFonts w:ascii="Calibri" w:eastAsia="Times New Roman" w:hAnsi="Calibri" w:cs="Calibri"/>
          <w:b/>
          <w:color w:val="000000"/>
          <w:sz w:val="24"/>
          <w:szCs w:val="24"/>
          <w:lang w:eastAsia="it-IT"/>
        </w:rPr>
      </w:pPr>
    </w:p>
    <w:p w14:paraId="5032A6DF" w14:textId="73BAA4D2" w:rsidR="00DE04E3" w:rsidRDefault="00DE04E3" w:rsidP="00DE04E3">
      <w:pPr>
        <w:spacing w:after="0" w:line="240" w:lineRule="auto"/>
        <w:rPr>
          <w:rFonts w:ascii="Calibri" w:eastAsia="Times New Roman" w:hAnsi="Calibri" w:cs="Calibri"/>
          <w:b/>
          <w:color w:val="000000"/>
          <w:sz w:val="24"/>
          <w:szCs w:val="24"/>
          <w:lang w:eastAsia="it-IT"/>
        </w:rPr>
      </w:pPr>
      <w:r w:rsidRPr="00186F7E">
        <w:rPr>
          <w:rFonts w:ascii="Calibri" w:eastAsia="Times New Roman" w:hAnsi="Calibri" w:cs="Calibri"/>
          <w:b/>
          <w:color w:val="000000"/>
          <w:sz w:val="24"/>
          <w:szCs w:val="24"/>
          <w:lang w:eastAsia="it-IT"/>
        </w:rPr>
        <w:lastRenderedPageBreak/>
        <w:t>Esperienza pregressa del Registro Nazionale PMA</w:t>
      </w:r>
    </w:p>
    <w:p w14:paraId="42389C4B" w14:textId="77777777" w:rsidR="00DE04E3" w:rsidRPr="00A611B3" w:rsidRDefault="00DE04E3" w:rsidP="00DE04E3">
      <w:pPr>
        <w:spacing w:after="0" w:line="240" w:lineRule="auto"/>
        <w:jc w:val="both"/>
        <w:rPr>
          <w:rFonts w:ascii="Calibri" w:eastAsia="Times New Roman" w:hAnsi="Calibri" w:cs="Calibri"/>
          <w:color w:val="000000"/>
          <w:sz w:val="24"/>
          <w:szCs w:val="24"/>
          <w:lang w:eastAsia="it-IT"/>
        </w:rPr>
      </w:pPr>
      <w:r w:rsidRPr="00A611B3">
        <w:rPr>
          <w:rFonts w:ascii="Calibri" w:eastAsia="Times New Roman" w:hAnsi="Calibri" w:cs="Calibri"/>
          <w:color w:val="000000"/>
          <w:sz w:val="24"/>
          <w:szCs w:val="24"/>
          <w:lang w:eastAsia="it-IT"/>
        </w:rPr>
        <w:t>L’esperienza del Registro Nazionale PMA in tale ambito di ricerca è maturata e consolidata grazie</w:t>
      </w:r>
    </w:p>
    <w:p w14:paraId="10D0B693" w14:textId="77777777" w:rsidR="00DE04E3" w:rsidRPr="00A611B3" w:rsidRDefault="00DE04E3" w:rsidP="00DE04E3">
      <w:pPr>
        <w:spacing w:after="0" w:line="240" w:lineRule="auto"/>
        <w:jc w:val="both"/>
        <w:rPr>
          <w:rFonts w:ascii="Calibri" w:eastAsia="Times New Roman" w:hAnsi="Calibri" w:cs="Calibri"/>
          <w:color w:val="000000"/>
          <w:sz w:val="24"/>
          <w:szCs w:val="24"/>
          <w:lang w:eastAsia="it-IT"/>
        </w:rPr>
      </w:pPr>
      <w:r w:rsidRPr="00A611B3">
        <w:rPr>
          <w:rFonts w:ascii="Calibri" w:eastAsia="Times New Roman" w:hAnsi="Calibri" w:cs="Calibri"/>
          <w:color w:val="000000"/>
          <w:sz w:val="24"/>
          <w:szCs w:val="24"/>
          <w:lang w:eastAsia="it-IT"/>
        </w:rPr>
        <w:t>alla partecipazione a numerosi progetti di ricerca che si sono occupati della preservazione della</w:t>
      </w:r>
    </w:p>
    <w:p w14:paraId="31F8EA43" w14:textId="77777777" w:rsidR="00DE04E3" w:rsidRPr="00A611B3" w:rsidRDefault="00DE04E3" w:rsidP="00DE04E3">
      <w:pPr>
        <w:spacing w:after="0" w:line="240" w:lineRule="auto"/>
        <w:jc w:val="both"/>
        <w:rPr>
          <w:rFonts w:ascii="Calibri" w:eastAsia="Times New Roman" w:hAnsi="Calibri" w:cs="Calibri"/>
          <w:color w:val="000000"/>
          <w:sz w:val="24"/>
          <w:szCs w:val="24"/>
          <w:lang w:eastAsia="it-IT"/>
        </w:rPr>
      </w:pPr>
      <w:r w:rsidRPr="00A611B3">
        <w:rPr>
          <w:rFonts w:ascii="Calibri" w:eastAsia="Times New Roman" w:hAnsi="Calibri" w:cs="Calibri"/>
          <w:color w:val="000000"/>
          <w:sz w:val="24"/>
          <w:szCs w:val="24"/>
          <w:lang w:eastAsia="it-IT"/>
        </w:rPr>
        <w:t>fertilità in pazienti oncologici a rischio infertilità iatrogena. Consapevoli dell’importanza di una</w:t>
      </w:r>
    </w:p>
    <w:p w14:paraId="353FE368" w14:textId="77777777" w:rsidR="00DE04E3" w:rsidRPr="00A611B3" w:rsidRDefault="00DE04E3" w:rsidP="00DE04E3">
      <w:pPr>
        <w:spacing w:after="120" w:line="240" w:lineRule="auto"/>
        <w:jc w:val="both"/>
        <w:rPr>
          <w:rFonts w:ascii="Calibri" w:eastAsia="Times New Roman" w:hAnsi="Calibri" w:cs="Calibri"/>
          <w:color w:val="000000"/>
          <w:sz w:val="24"/>
          <w:szCs w:val="24"/>
          <w:lang w:eastAsia="it-IT"/>
        </w:rPr>
      </w:pPr>
      <w:r w:rsidRPr="00A611B3">
        <w:rPr>
          <w:rFonts w:ascii="Calibri" w:eastAsia="Times New Roman" w:hAnsi="Calibri" w:cs="Calibri"/>
          <w:color w:val="000000"/>
          <w:sz w:val="24"/>
          <w:szCs w:val="24"/>
          <w:lang w:eastAsia="it-IT"/>
        </w:rPr>
        <w:t>diffusione corretta di informazioni per la creazione di una cultura della preservazione della fertilità,</w:t>
      </w:r>
      <w:r w:rsidRPr="00A611B3">
        <w:t xml:space="preserve"> </w:t>
      </w:r>
      <w:r>
        <w:t>i</w:t>
      </w:r>
      <w:r w:rsidRPr="00A611B3">
        <w:rPr>
          <w:rFonts w:ascii="Calibri" w:eastAsia="Times New Roman" w:hAnsi="Calibri" w:cs="Calibri"/>
          <w:color w:val="000000"/>
          <w:sz w:val="24"/>
          <w:szCs w:val="24"/>
          <w:lang w:eastAsia="it-IT"/>
        </w:rPr>
        <w:t>l Registro PMA ha realizzato un “format” di corso di formazione itinerante nelle varie regioni</w:t>
      </w:r>
      <w:r>
        <w:rPr>
          <w:rFonts w:ascii="Calibri" w:eastAsia="Times New Roman" w:hAnsi="Calibri" w:cs="Calibri"/>
          <w:color w:val="000000"/>
          <w:sz w:val="24"/>
          <w:szCs w:val="24"/>
          <w:lang w:eastAsia="it-IT"/>
        </w:rPr>
        <w:t xml:space="preserve"> </w:t>
      </w:r>
      <w:r w:rsidRPr="00A611B3">
        <w:rPr>
          <w:rFonts w:ascii="Calibri" w:eastAsia="Times New Roman" w:hAnsi="Calibri" w:cs="Calibri"/>
          <w:color w:val="000000"/>
          <w:sz w:val="24"/>
          <w:szCs w:val="24"/>
          <w:lang w:eastAsia="it-IT"/>
        </w:rPr>
        <w:t>italiane, rivolto agli operatori sanitari con l’obiettivo di preparali ad informare i pazienti:</w:t>
      </w:r>
    </w:p>
    <w:p w14:paraId="6F03E92A" w14:textId="77777777" w:rsidR="00DE04E3" w:rsidRPr="00133A75" w:rsidRDefault="00DE04E3" w:rsidP="00DE04E3">
      <w:pPr>
        <w:pStyle w:val="Paragrafoelenco"/>
        <w:numPr>
          <w:ilvl w:val="0"/>
          <w:numId w:val="1"/>
        </w:numPr>
        <w:spacing w:after="0" w:line="240" w:lineRule="auto"/>
        <w:ind w:left="851" w:hanging="284"/>
        <w:jc w:val="both"/>
        <w:rPr>
          <w:rFonts w:ascii="Calibri" w:eastAsia="Times New Roman" w:hAnsi="Calibri" w:cs="Calibri"/>
          <w:color w:val="000000"/>
          <w:sz w:val="24"/>
          <w:szCs w:val="24"/>
          <w:lang w:eastAsia="it-IT"/>
        </w:rPr>
      </w:pPr>
      <w:r w:rsidRPr="00133A75">
        <w:rPr>
          <w:rFonts w:ascii="Calibri" w:eastAsia="Times New Roman" w:hAnsi="Calibri" w:cs="Calibri"/>
          <w:color w:val="000000"/>
          <w:sz w:val="24"/>
          <w:szCs w:val="24"/>
          <w:lang w:eastAsia="it-IT"/>
        </w:rPr>
        <w:t>sulla possibilità di accedere a trattamenti di preservazione della fertilità senza dover</w:t>
      </w:r>
      <w:r>
        <w:rPr>
          <w:rFonts w:ascii="Calibri" w:eastAsia="Times New Roman" w:hAnsi="Calibri" w:cs="Calibri"/>
          <w:color w:val="000000"/>
          <w:sz w:val="24"/>
          <w:szCs w:val="24"/>
          <w:lang w:eastAsia="it-IT"/>
        </w:rPr>
        <w:t xml:space="preserve"> </w:t>
      </w:r>
      <w:r w:rsidRPr="00133A75">
        <w:rPr>
          <w:rFonts w:ascii="Calibri" w:eastAsia="Times New Roman" w:hAnsi="Calibri" w:cs="Calibri"/>
          <w:color w:val="000000"/>
          <w:sz w:val="24"/>
          <w:szCs w:val="24"/>
          <w:lang w:eastAsia="it-IT"/>
        </w:rPr>
        <w:t>necessariamente ritardare l’inizio della terapia;</w:t>
      </w:r>
    </w:p>
    <w:p w14:paraId="0414EF0A" w14:textId="77777777" w:rsidR="00DE04E3" w:rsidRPr="00133A75" w:rsidRDefault="00DE04E3" w:rsidP="00DE04E3">
      <w:pPr>
        <w:pStyle w:val="Paragrafoelenco"/>
        <w:numPr>
          <w:ilvl w:val="0"/>
          <w:numId w:val="1"/>
        </w:numPr>
        <w:spacing w:after="0" w:line="240" w:lineRule="auto"/>
        <w:ind w:left="851" w:hanging="284"/>
        <w:jc w:val="both"/>
        <w:rPr>
          <w:rFonts w:ascii="Calibri" w:eastAsia="Times New Roman" w:hAnsi="Calibri" w:cs="Calibri"/>
          <w:color w:val="000000"/>
          <w:sz w:val="24"/>
          <w:szCs w:val="24"/>
          <w:lang w:eastAsia="it-IT"/>
        </w:rPr>
      </w:pPr>
      <w:r w:rsidRPr="00133A75">
        <w:rPr>
          <w:rFonts w:ascii="Calibri" w:eastAsia="Times New Roman" w:hAnsi="Calibri" w:cs="Calibri"/>
          <w:color w:val="000000"/>
          <w:sz w:val="24"/>
          <w:szCs w:val="24"/>
          <w:lang w:eastAsia="it-IT"/>
        </w:rPr>
        <w:t>sulle caratteristiche delle diverse tecniche di preservazione della fertilità nei pazienti oncologici;</w:t>
      </w:r>
    </w:p>
    <w:p w14:paraId="322312FF" w14:textId="77777777" w:rsidR="00DE04E3" w:rsidRPr="00133A75" w:rsidRDefault="00DE04E3" w:rsidP="00DE04E3">
      <w:pPr>
        <w:pStyle w:val="Paragrafoelenco"/>
        <w:numPr>
          <w:ilvl w:val="0"/>
          <w:numId w:val="1"/>
        </w:numPr>
        <w:spacing w:after="120" w:line="240" w:lineRule="auto"/>
        <w:ind w:left="851" w:hanging="284"/>
        <w:contextualSpacing w:val="0"/>
        <w:jc w:val="both"/>
        <w:rPr>
          <w:rFonts w:ascii="Calibri" w:eastAsia="Times New Roman" w:hAnsi="Calibri" w:cs="Calibri"/>
          <w:color w:val="000000"/>
          <w:sz w:val="24"/>
          <w:szCs w:val="24"/>
          <w:lang w:eastAsia="it-IT"/>
        </w:rPr>
      </w:pPr>
      <w:r w:rsidRPr="00133A75">
        <w:rPr>
          <w:rFonts w:ascii="Calibri" w:eastAsia="Times New Roman" w:hAnsi="Calibri" w:cs="Calibri"/>
          <w:color w:val="000000"/>
          <w:sz w:val="24"/>
          <w:szCs w:val="24"/>
          <w:lang w:eastAsia="it-IT"/>
        </w:rPr>
        <w:t>sulla possibilità di avere un supporto psicologico adeguato che li aiuti ad affrontare l’infertilità</w:t>
      </w:r>
      <w:r>
        <w:rPr>
          <w:rFonts w:ascii="Calibri" w:eastAsia="Times New Roman" w:hAnsi="Calibri" w:cs="Calibri"/>
          <w:color w:val="000000"/>
          <w:sz w:val="24"/>
          <w:szCs w:val="24"/>
          <w:lang w:eastAsia="it-IT"/>
        </w:rPr>
        <w:t xml:space="preserve"> </w:t>
      </w:r>
      <w:r w:rsidRPr="00133A75">
        <w:rPr>
          <w:rFonts w:ascii="Calibri" w:eastAsia="Times New Roman" w:hAnsi="Calibri" w:cs="Calibri"/>
          <w:color w:val="000000"/>
          <w:sz w:val="24"/>
          <w:szCs w:val="24"/>
          <w:lang w:eastAsia="it-IT"/>
        </w:rPr>
        <w:t>indotta dai trattamenti.</w:t>
      </w:r>
    </w:p>
    <w:p w14:paraId="069C9B9A" w14:textId="77777777" w:rsidR="00DE04E3" w:rsidRPr="00F420D1" w:rsidRDefault="00DE04E3" w:rsidP="00DE04E3">
      <w:pPr>
        <w:spacing w:after="120" w:line="240" w:lineRule="auto"/>
        <w:jc w:val="both"/>
        <w:rPr>
          <w:rFonts w:ascii="Calibri" w:eastAsia="Times New Roman" w:hAnsi="Calibri" w:cs="Calibri"/>
          <w:b/>
          <w:color w:val="000000"/>
          <w:sz w:val="24"/>
          <w:szCs w:val="24"/>
          <w:lang w:eastAsia="it-IT"/>
        </w:rPr>
      </w:pPr>
      <w:r w:rsidRPr="00F420D1">
        <w:rPr>
          <w:rFonts w:ascii="Calibri" w:eastAsia="Times New Roman" w:hAnsi="Calibri" w:cs="Calibri"/>
          <w:b/>
          <w:color w:val="000000"/>
          <w:sz w:val="24"/>
          <w:szCs w:val="24"/>
          <w:lang w:eastAsia="it-IT"/>
        </w:rPr>
        <w:t>Sintesi dei dati del Censimento dei centri di oncofertilità</w:t>
      </w:r>
    </w:p>
    <w:p w14:paraId="410A2A0D" w14:textId="77777777" w:rsidR="00DE04E3" w:rsidRDefault="00DE04E3" w:rsidP="00DE04E3">
      <w:pPr>
        <w:spacing w:after="120" w:line="240" w:lineRule="auto"/>
        <w:jc w:val="both"/>
        <w:rPr>
          <w:rFonts w:ascii="Calibri" w:eastAsia="Times New Roman" w:hAnsi="Calibri" w:cs="Calibri"/>
          <w:color w:val="000000"/>
          <w:sz w:val="24"/>
          <w:szCs w:val="24"/>
          <w:lang w:eastAsia="it-IT"/>
        </w:rPr>
      </w:pPr>
      <w:r>
        <w:rPr>
          <w:rFonts w:ascii="Calibri" w:eastAsia="Times New Roman" w:hAnsi="Calibri" w:cs="Calibri"/>
          <w:color w:val="000000"/>
          <w:sz w:val="24"/>
          <w:szCs w:val="24"/>
          <w:lang w:eastAsia="it-IT"/>
        </w:rPr>
        <w:t>L’Istituto Superiore di Sanità e il Registro Nazionale della Procreazione Medicalmente Assistita nella persona della Dott.ssa Giulia Scaravelli in qualità di suo responsabile ha coordinato dal 2009 un progetto di ricerca che ha eseguito un censimento delle strutture di oncofertilità operanti sul territorio nazionale il cui ultimo aggiornamento al dicembre 2023. Questi i risultati:</w:t>
      </w:r>
    </w:p>
    <w:p w14:paraId="3DFC1D06" w14:textId="77777777" w:rsidR="00DE04E3" w:rsidRPr="0038132B" w:rsidRDefault="00DE04E3" w:rsidP="00DE04E3">
      <w:pPr>
        <w:pStyle w:val="Paragrafoelenco"/>
        <w:numPr>
          <w:ilvl w:val="0"/>
          <w:numId w:val="5"/>
        </w:numPr>
        <w:spacing w:after="0" w:line="240" w:lineRule="auto"/>
        <w:jc w:val="both"/>
        <w:rPr>
          <w:rFonts w:ascii="Calibri" w:eastAsia="Times New Roman" w:hAnsi="Calibri" w:cs="Calibri"/>
          <w:color w:val="000000"/>
          <w:sz w:val="24"/>
          <w:szCs w:val="24"/>
          <w:lang w:eastAsia="it-IT"/>
        </w:rPr>
      </w:pPr>
      <w:r w:rsidRPr="00F420D1">
        <w:rPr>
          <w:rFonts w:ascii="Calibri" w:eastAsia="Times New Roman" w:hAnsi="Calibri" w:cs="Calibri"/>
          <w:b/>
          <w:color w:val="000000"/>
          <w:sz w:val="24"/>
          <w:szCs w:val="24"/>
          <w:lang w:eastAsia="it-IT"/>
        </w:rPr>
        <w:t>70 centri di PMA e una Biobanca di Tessuto Ovarico</w:t>
      </w:r>
      <w:r w:rsidRPr="0038132B">
        <w:rPr>
          <w:rFonts w:ascii="Calibri" w:eastAsia="Times New Roman" w:hAnsi="Calibri" w:cs="Calibri"/>
          <w:color w:val="000000"/>
          <w:sz w:val="24"/>
          <w:szCs w:val="24"/>
          <w:lang w:eastAsia="it-IT"/>
        </w:rPr>
        <w:t xml:space="preserve"> hanno effettuato attività di preservazione della fertilità; </w:t>
      </w:r>
    </w:p>
    <w:p w14:paraId="0BF24307" w14:textId="77777777" w:rsidR="00DE04E3" w:rsidRPr="0038132B" w:rsidRDefault="00DE04E3" w:rsidP="00DE04E3">
      <w:pPr>
        <w:pStyle w:val="Paragrafoelenco"/>
        <w:numPr>
          <w:ilvl w:val="0"/>
          <w:numId w:val="5"/>
        </w:numPr>
        <w:spacing w:after="0" w:line="240" w:lineRule="auto"/>
        <w:jc w:val="both"/>
        <w:rPr>
          <w:rFonts w:ascii="Calibri" w:eastAsia="Times New Roman" w:hAnsi="Calibri" w:cs="Calibri"/>
          <w:color w:val="000000"/>
          <w:sz w:val="24"/>
          <w:szCs w:val="24"/>
          <w:lang w:eastAsia="it-IT"/>
        </w:rPr>
      </w:pPr>
      <w:r w:rsidRPr="0038132B">
        <w:rPr>
          <w:rFonts w:ascii="Calibri" w:eastAsia="Times New Roman" w:hAnsi="Calibri" w:cs="Calibri"/>
          <w:color w:val="000000"/>
          <w:sz w:val="24"/>
          <w:szCs w:val="24"/>
          <w:lang w:eastAsia="it-IT"/>
        </w:rPr>
        <w:t xml:space="preserve">in particolare, 63 centri di PMA hanno effettuato attività di crioconservazione di ovociti su 6.685 pazienti, crioconservando 59.860 ovociti; </w:t>
      </w:r>
    </w:p>
    <w:p w14:paraId="680220D5" w14:textId="77777777" w:rsidR="00DE04E3" w:rsidRDefault="00DE04E3" w:rsidP="00DE04E3">
      <w:pPr>
        <w:pStyle w:val="Paragrafoelenco"/>
        <w:numPr>
          <w:ilvl w:val="0"/>
          <w:numId w:val="5"/>
        </w:numPr>
        <w:spacing w:after="120" w:line="240" w:lineRule="auto"/>
        <w:ind w:left="714" w:hanging="357"/>
        <w:jc w:val="both"/>
        <w:rPr>
          <w:rFonts w:ascii="Calibri" w:eastAsia="Times New Roman" w:hAnsi="Calibri" w:cs="Calibri"/>
          <w:color w:val="000000"/>
          <w:sz w:val="24"/>
          <w:szCs w:val="24"/>
          <w:lang w:eastAsia="it-IT"/>
        </w:rPr>
      </w:pPr>
      <w:r w:rsidRPr="0038132B">
        <w:rPr>
          <w:rFonts w:ascii="Calibri" w:eastAsia="Times New Roman" w:hAnsi="Calibri" w:cs="Calibri"/>
          <w:color w:val="000000"/>
          <w:sz w:val="24"/>
          <w:szCs w:val="24"/>
          <w:lang w:eastAsia="it-IT"/>
        </w:rPr>
        <w:t xml:space="preserve">29 centri di PMA e la Banca del </w:t>
      </w:r>
      <w:r>
        <w:rPr>
          <w:rFonts w:ascii="Calibri" w:eastAsia="Times New Roman" w:hAnsi="Calibri" w:cs="Calibri"/>
          <w:color w:val="000000"/>
          <w:sz w:val="24"/>
          <w:szCs w:val="24"/>
          <w:lang w:eastAsia="it-IT"/>
        </w:rPr>
        <w:t>T</w:t>
      </w:r>
      <w:r w:rsidRPr="0038132B">
        <w:rPr>
          <w:rFonts w:ascii="Calibri" w:eastAsia="Times New Roman" w:hAnsi="Calibri" w:cs="Calibri"/>
          <w:color w:val="000000"/>
          <w:sz w:val="24"/>
          <w:szCs w:val="24"/>
          <w:lang w:eastAsia="it-IT"/>
        </w:rPr>
        <w:t xml:space="preserve">essuto </w:t>
      </w:r>
      <w:r>
        <w:rPr>
          <w:rFonts w:ascii="Calibri" w:eastAsia="Times New Roman" w:hAnsi="Calibri" w:cs="Calibri"/>
          <w:color w:val="000000"/>
          <w:sz w:val="24"/>
          <w:szCs w:val="24"/>
          <w:lang w:eastAsia="it-IT"/>
        </w:rPr>
        <w:t>O</w:t>
      </w:r>
      <w:r w:rsidRPr="0038132B">
        <w:rPr>
          <w:rFonts w:ascii="Calibri" w:eastAsia="Times New Roman" w:hAnsi="Calibri" w:cs="Calibri"/>
          <w:color w:val="000000"/>
          <w:sz w:val="24"/>
          <w:szCs w:val="24"/>
          <w:lang w:eastAsia="it-IT"/>
        </w:rPr>
        <w:t xml:space="preserve">varico hanno effettuato la crioconservazione di tessuto ovarico su 2.069 pazienti. </w:t>
      </w:r>
    </w:p>
    <w:p w14:paraId="34B27B8C" w14:textId="77777777" w:rsidR="00DE04E3" w:rsidRDefault="00DE04E3" w:rsidP="00DE04E3">
      <w:pPr>
        <w:spacing w:after="120" w:line="240" w:lineRule="auto"/>
        <w:jc w:val="both"/>
        <w:rPr>
          <w:rFonts w:ascii="Calibri" w:eastAsia="Times New Roman" w:hAnsi="Calibri" w:cs="Calibri"/>
          <w:color w:val="000000"/>
          <w:sz w:val="24"/>
          <w:szCs w:val="24"/>
          <w:lang w:eastAsia="it-IT"/>
        </w:rPr>
      </w:pPr>
      <w:r w:rsidRPr="0038132B">
        <w:rPr>
          <w:rFonts w:ascii="Calibri" w:eastAsia="Times New Roman" w:hAnsi="Calibri" w:cs="Calibri"/>
          <w:noProof/>
          <w:color w:val="000000"/>
          <w:sz w:val="24"/>
          <w:szCs w:val="24"/>
          <w:lang w:eastAsia="it-IT"/>
        </w:rPr>
        <w:drawing>
          <wp:inline distT="0" distB="0" distL="0" distR="0" wp14:anchorId="6FF05299" wp14:editId="49CAE7CB">
            <wp:extent cx="5857875" cy="2732405"/>
            <wp:effectExtent l="0" t="0" r="9525"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92072" cy="2748356"/>
                    </a:xfrm>
                    <a:prstGeom prst="rect">
                      <a:avLst/>
                    </a:prstGeom>
                  </pic:spPr>
                </pic:pic>
              </a:graphicData>
            </a:graphic>
          </wp:inline>
        </w:drawing>
      </w:r>
    </w:p>
    <w:p w14:paraId="797878BE" w14:textId="77777777" w:rsidR="00DE04E3" w:rsidRDefault="00DE04E3" w:rsidP="00DE04E3">
      <w:pPr>
        <w:spacing w:after="0" w:line="240" w:lineRule="auto"/>
        <w:rPr>
          <w:rFonts w:ascii="Calibri" w:eastAsia="Times New Roman" w:hAnsi="Calibri" w:cs="Calibri"/>
          <w:b/>
          <w:color w:val="000000"/>
          <w:sz w:val="24"/>
          <w:szCs w:val="24"/>
          <w:lang w:eastAsia="it-IT"/>
        </w:rPr>
      </w:pPr>
    </w:p>
    <w:p w14:paraId="655FA142" w14:textId="082B2008" w:rsidR="00DE04E3" w:rsidRPr="00A611B3" w:rsidRDefault="00DE04E3" w:rsidP="00DE04E3">
      <w:pPr>
        <w:spacing w:after="0" w:line="240" w:lineRule="auto"/>
        <w:rPr>
          <w:rFonts w:ascii="Calibri" w:eastAsia="Times New Roman" w:hAnsi="Calibri" w:cs="Calibri"/>
          <w:b/>
          <w:color w:val="000000"/>
          <w:sz w:val="24"/>
          <w:szCs w:val="24"/>
          <w:lang w:eastAsia="it-IT"/>
        </w:rPr>
      </w:pPr>
      <w:r w:rsidRPr="00A611B3">
        <w:rPr>
          <w:rFonts w:ascii="Calibri" w:eastAsia="Times New Roman" w:hAnsi="Calibri" w:cs="Calibri"/>
          <w:b/>
          <w:color w:val="000000"/>
          <w:sz w:val="24"/>
          <w:szCs w:val="24"/>
          <w:lang w:eastAsia="it-IT"/>
        </w:rPr>
        <w:t>Sintesi dei risultati ottenuti dal Progetto nel biennio 2021-2023</w:t>
      </w:r>
    </w:p>
    <w:p w14:paraId="20BA521F" w14:textId="77777777" w:rsidR="00DE04E3" w:rsidRPr="00A611B3" w:rsidRDefault="00DE04E3" w:rsidP="00DE04E3">
      <w:pPr>
        <w:spacing w:after="0" w:line="240" w:lineRule="auto"/>
        <w:jc w:val="both"/>
        <w:rPr>
          <w:rFonts w:ascii="Calibri" w:eastAsia="Times New Roman" w:hAnsi="Calibri" w:cs="Calibri"/>
          <w:color w:val="000000"/>
          <w:sz w:val="24"/>
          <w:szCs w:val="24"/>
          <w:lang w:eastAsia="it-IT"/>
        </w:rPr>
      </w:pPr>
      <w:r w:rsidRPr="00A611B3">
        <w:rPr>
          <w:rFonts w:ascii="Calibri" w:eastAsia="Times New Roman" w:hAnsi="Calibri" w:cs="Calibri"/>
          <w:color w:val="000000"/>
          <w:sz w:val="24"/>
          <w:szCs w:val="24"/>
          <w:lang w:eastAsia="it-IT"/>
        </w:rPr>
        <w:t>Tutte le unità operative hanno inserito i dati relativi alla loro attività di preservazione della</w:t>
      </w:r>
    </w:p>
    <w:p w14:paraId="26ED2D61" w14:textId="77777777" w:rsidR="00DE04E3" w:rsidRPr="00A611B3" w:rsidRDefault="00DE04E3" w:rsidP="00DE04E3">
      <w:pPr>
        <w:spacing w:after="0" w:line="240" w:lineRule="auto"/>
        <w:jc w:val="both"/>
        <w:rPr>
          <w:rFonts w:ascii="Calibri" w:eastAsia="Times New Roman" w:hAnsi="Calibri" w:cs="Calibri"/>
          <w:color w:val="000000"/>
          <w:sz w:val="24"/>
          <w:szCs w:val="24"/>
          <w:lang w:eastAsia="it-IT"/>
        </w:rPr>
      </w:pPr>
      <w:r w:rsidRPr="00A611B3">
        <w:rPr>
          <w:rFonts w:ascii="Calibri" w:eastAsia="Times New Roman" w:hAnsi="Calibri" w:cs="Calibri"/>
          <w:color w:val="000000"/>
          <w:sz w:val="24"/>
          <w:szCs w:val="24"/>
          <w:lang w:eastAsia="it-IT"/>
        </w:rPr>
        <w:t>fertilità eseguita nelle pazienti oncologiche e/o a rischio di infertilità per patologie</w:t>
      </w:r>
      <w:r>
        <w:rPr>
          <w:rFonts w:ascii="Calibri" w:eastAsia="Times New Roman" w:hAnsi="Calibri" w:cs="Calibri"/>
          <w:color w:val="000000"/>
          <w:sz w:val="24"/>
          <w:szCs w:val="24"/>
          <w:lang w:eastAsia="it-IT"/>
        </w:rPr>
        <w:t>, sia per congelamento di ovociti che di tessuto ovarico</w:t>
      </w:r>
      <w:r w:rsidRPr="00A611B3">
        <w:rPr>
          <w:rFonts w:ascii="Calibri" w:eastAsia="Times New Roman" w:hAnsi="Calibri" w:cs="Calibri"/>
          <w:color w:val="000000"/>
          <w:sz w:val="24"/>
          <w:szCs w:val="24"/>
          <w:lang w:eastAsia="it-IT"/>
        </w:rPr>
        <w:t xml:space="preserve"> </w:t>
      </w:r>
      <w:r>
        <w:rPr>
          <w:rFonts w:ascii="Calibri" w:eastAsia="Times New Roman" w:hAnsi="Calibri" w:cs="Calibri"/>
          <w:color w:val="000000"/>
          <w:sz w:val="24"/>
          <w:szCs w:val="24"/>
          <w:lang w:eastAsia="it-IT"/>
        </w:rPr>
        <w:t>effettuati dal 1998 al 2023.</w:t>
      </w:r>
    </w:p>
    <w:p w14:paraId="73F2ABF7" w14:textId="77777777" w:rsidR="00DE04E3" w:rsidRPr="00A611B3" w:rsidRDefault="00DE04E3" w:rsidP="00DE04E3">
      <w:pPr>
        <w:spacing w:after="0" w:line="240" w:lineRule="auto"/>
        <w:jc w:val="both"/>
        <w:rPr>
          <w:rFonts w:ascii="Calibri" w:eastAsia="Times New Roman" w:hAnsi="Calibri" w:cs="Calibri"/>
          <w:color w:val="000000"/>
          <w:sz w:val="24"/>
          <w:szCs w:val="24"/>
          <w:lang w:eastAsia="it-IT"/>
        </w:rPr>
      </w:pPr>
      <w:r w:rsidRPr="00A611B3">
        <w:rPr>
          <w:rFonts w:ascii="Calibri" w:eastAsia="Times New Roman" w:hAnsi="Calibri" w:cs="Calibri"/>
          <w:color w:val="000000"/>
          <w:sz w:val="24"/>
          <w:szCs w:val="24"/>
          <w:lang w:eastAsia="it-IT"/>
        </w:rPr>
        <w:t>Per quanto riguarda l’attività di crioconservazione sono stati raccolti e analizzati dati su 2.971</w:t>
      </w:r>
    </w:p>
    <w:p w14:paraId="3FBC18BE" w14:textId="77777777" w:rsidR="00DE04E3" w:rsidRDefault="00DE04E3" w:rsidP="00DE04E3">
      <w:pPr>
        <w:spacing w:after="0" w:line="240" w:lineRule="auto"/>
        <w:jc w:val="both"/>
        <w:rPr>
          <w:rFonts w:ascii="Calibri" w:eastAsia="Times New Roman" w:hAnsi="Calibri" w:cs="Calibri"/>
          <w:color w:val="000000"/>
          <w:sz w:val="24"/>
          <w:szCs w:val="24"/>
          <w:lang w:eastAsia="it-IT"/>
        </w:rPr>
      </w:pPr>
      <w:r w:rsidRPr="00A611B3">
        <w:rPr>
          <w:rFonts w:ascii="Calibri" w:eastAsia="Times New Roman" w:hAnsi="Calibri" w:cs="Calibri"/>
          <w:color w:val="000000"/>
          <w:sz w:val="24"/>
          <w:szCs w:val="24"/>
          <w:lang w:eastAsia="it-IT"/>
        </w:rPr>
        <w:t>pazienti che hanno effettuato 3.162 congelamenti di ovociti</w:t>
      </w:r>
      <w:r>
        <w:rPr>
          <w:rFonts w:ascii="Calibri" w:eastAsia="Times New Roman" w:hAnsi="Calibri" w:cs="Calibri"/>
          <w:color w:val="000000"/>
          <w:sz w:val="24"/>
          <w:szCs w:val="24"/>
          <w:lang w:eastAsia="it-IT"/>
        </w:rPr>
        <w:t xml:space="preserve"> </w:t>
      </w:r>
      <w:r w:rsidRPr="00A611B3">
        <w:rPr>
          <w:rFonts w:ascii="Calibri" w:eastAsia="Times New Roman" w:hAnsi="Calibri" w:cs="Calibri"/>
          <w:color w:val="000000"/>
          <w:sz w:val="24"/>
          <w:szCs w:val="24"/>
          <w:lang w:eastAsia="it-IT"/>
        </w:rPr>
        <w:t>e su 1.531 pazienti che hanno</w:t>
      </w:r>
      <w:r>
        <w:rPr>
          <w:rFonts w:ascii="Calibri" w:eastAsia="Times New Roman" w:hAnsi="Calibri" w:cs="Calibri"/>
          <w:color w:val="000000"/>
          <w:sz w:val="24"/>
          <w:szCs w:val="24"/>
          <w:lang w:eastAsia="it-IT"/>
        </w:rPr>
        <w:t xml:space="preserve"> </w:t>
      </w:r>
      <w:r w:rsidRPr="00A611B3">
        <w:rPr>
          <w:rFonts w:ascii="Calibri" w:eastAsia="Times New Roman" w:hAnsi="Calibri" w:cs="Calibri"/>
          <w:color w:val="000000"/>
          <w:sz w:val="24"/>
          <w:szCs w:val="24"/>
          <w:lang w:eastAsia="it-IT"/>
        </w:rPr>
        <w:t xml:space="preserve">effettuato il congelamento di tessuto ovarico. </w:t>
      </w:r>
    </w:p>
    <w:p w14:paraId="2E0E0E29" w14:textId="77777777" w:rsidR="00DE04E3" w:rsidRDefault="00DE04E3" w:rsidP="00DE04E3">
      <w:pPr>
        <w:spacing w:after="120" w:line="240" w:lineRule="auto"/>
        <w:jc w:val="both"/>
        <w:rPr>
          <w:rFonts w:ascii="Calibri" w:eastAsia="Times New Roman" w:hAnsi="Calibri" w:cs="Calibri"/>
          <w:color w:val="000000"/>
          <w:sz w:val="24"/>
          <w:szCs w:val="24"/>
          <w:lang w:eastAsia="it-IT"/>
        </w:rPr>
      </w:pPr>
      <w:r w:rsidRPr="00A611B3">
        <w:rPr>
          <w:rFonts w:ascii="Calibri" w:eastAsia="Times New Roman" w:hAnsi="Calibri" w:cs="Calibri"/>
          <w:color w:val="000000"/>
          <w:sz w:val="24"/>
          <w:szCs w:val="24"/>
          <w:lang w:eastAsia="it-IT"/>
        </w:rPr>
        <w:t>Per quanto concerne gli scongelamenti sono</w:t>
      </w:r>
      <w:r>
        <w:rPr>
          <w:rFonts w:ascii="Calibri" w:eastAsia="Times New Roman" w:hAnsi="Calibri" w:cs="Calibri"/>
          <w:color w:val="000000"/>
          <w:sz w:val="24"/>
          <w:szCs w:val="24"/>
          <w:lang w:eastAsia="it-IT"/>
        </w:rPr>
        <w:t xml:space="preserve"> </w:t>
      </w:r>
      <w:r w:rsidRPr="00A611B3">
        <w:rPr>
          <w:rFonts w:ascii="Calibri" w:eastAsia="Times New Roman" w:hAnsi="Calibri" w:cs="Calibri"/>
          <w:color w:val="000000"/>
          <w:sz w:val="24"/>
          <w:szCs w:val="24"/>
          <w:lang w:eastAsia="it-IT"/>
        </w:rPr>
        <w:t xml:space="preserve">stati raccolti e analizzati dati relativi a: </w:t>
      </w:r>
    </w:p>
    <w:p w14:paraId="6C420C44" w14:textId="77777777" w:rsidR="00DE04E3" w:rsidRPr="002F5C01" w:rsidRDefault="00DE04E3" w:rsidP="00DE04E3">
      <w:pPr>
        <w:pStyle w:val="Paragrafoelenco"/>
        <w:numPr>
          <w:ilvl w:val="0"/>
          <w:numId w:val="4"/>
        </w:numPr>
        <w:spacing w:after="0" w:line="240" w:lineRule="auto"/>
        <w:jc w:val="both"/>
        <w:rPr>
          <w:rFonts w:ascii="Calibri" w:eastAsia="Times New Roman" w:hAnsi="Calibri" w:cs="Calibri"/>
          <w:color w:val="000000"/>
          <w:sz w:val="24"/>
          <w:szCs w:val="24"/>
          <w:lang w:eastAsia="it-IT"/>
        </w:rPr>
      </w:pPr>
      <w:r w:rsidRPr="002F5C01">
        <w:rPr>
          <w:rFonts w:ascii="Calibri" w:eastAsia="Times New Roman" w:hAnsi="Calibri" w:cs="Calibri"/>
          <w:color w:val="000000"/>
          <w:sz w:val="24"/>
          <w:szCs w:val="24"/>
          <w:lang w:eastAsia="it-IT"/>
        </w:rPr>
        <w:t xml:space="preserve">355 scongelamenti di ovociti effettuati </w:t>
      </w:r>
      <w:r>
        <w:rPr>
          <w:rFonts w:ascii="Calibri" w:eastAsia="Times New Roman" w:hAnsi="Calibri" w:cs="Calibri"/>
          <w:color w:val="000000"/>
          <w:sz w:val="24"/>
          <w:szCs w:val="24"/>
          <w:lang w:eastAsia="it-IT"/>
        </w:rPr>
        <w:t>su</w:t>
      </w:r>
      <w:r w:rsidRPr="002F5C01">
        <w:rPr>
          <w:rFonts w:ascii="Calibri" w:eastAsia="Times New Roman" w:hAnsi="Calibri" w:cs="Calibri"/>
          <w:color w:val="000000"/>
          <w:sz w:val="24"/>
          <w:szCs w:val="24"/>
          <w:lang w:eastAsia="it-IT"/>
        </w:rPr>
        <w:t xml:space="preserve"> 262 pazienti e a seguito dei quali si sono ottenute 89 gravidanze, 51 parti, di cui 43 singoli e 8 gemellari, e 59 bambini nati vivi; </w:t>
      </w:r>
    </w:p>
    <w:p w14:paraId="3CDD7095" w14:textId="77777777" w:rsidR="00DE04E3" w:rsidRPr="002F5C01" w:rsidRDefault="00DE04E3" w:rsidP="00DE04E3">
      <w:pPr>
        <w:pStyle w:val="Paragrafoelenco"/>
        <w:numPr>
          <w:ilvl w:val="0"/>
          <w:numId w:val="4"/>
        </w:numPr>
        <w:spacing w:after="120" w:line="240" w:lineRule="auto"/>
        <w:ind w:left="714" w:hanging="357"/>
        <w:jc w:val="both"/>
        <w:rPr>
          <w:rFonts w:ascii="Calibri" w:eastAsia="Times New Roman" w:hAnsi="Calibri" w:cs="Calibri"/>
          <w:color w:val="000000"/>
          <w:sz w:val="24"/>
          <w:szCs w:val="24"/>
          <w:lang w:eastAsia="it-IT"/>
        </w:rPr>
      </w:pPr>
      <w:r w:rsidRPr="002F5C01">
        <w:rPr>
          <w:rFonts w:ascii="Calibri" w:eastAsia="Times New Roman" w:hAnsi="Calibri" w:cs="Calibri"/>
          <w:color w:val="000000"/>
          <w:sz w:val="24"/>
          <w:szCs w:val="24"/>
          <w:lang w:eastAsia="it-IT"/>
        </w:rPr>
        <w:t xml:space="preserve">63 scongelamenti di tessuto ovarico effettuati su 39 pazienti e dai quali si sono </w:t>
      </w:r>
      <w:r>
        <w:rPr>
          <w:rFonts w:ascii="Calibri" w:eastAsia="Times New Roman" w:hAnsi="Calibri" w:cs="Calibri"/>
          <w:color w:val="000000"/>
          <w:sz w:val="24"/>
          <w:szCs w:val="24"/>
          <w:lang w:eastAsia="it-IT"/>
        </w:rPr>
        <w:t>ottenute</w:t>
      </w:r>
      <w:r w:rsidRPr="002F5C01">
        <w:rPr>
          <w:rFonts w:ascii="Calibri" w:eastAsia="Times New Roman" w:hAnsi="Calibri" w:cs="Calibri"/>
          <w:color w:val="000000"/>
          <w:sz w:val="24"/>
          <w:szCs w:val="24"/>
          <w:lang w:eastAsia="it-IT"/>
        </w:rPr>
        <w:t xml:space="preserve"> 12 gravidanze, 6 parti singoli e 6 bambini nati vivi.</w:t>
      </w:r>
    </w:p>
    <w:p w14:paraId="1634E2EB" w14:textId="77777777" w:rsidR="00DE04E3" w:rsidRDefault="00DE04E3" w:rsidP="00DE04E3">
      <w:pPr>
        <w:spacing w:after="0" w:line="240" w:lineRule="auto"/>
        <w:jc w:val="both"/>
        <w:rPr>
          <w:rFonts w:ascii="Calibri" w:eastAsia="Times New Roman" w:hAnsi="Calibri" w:cs="Calibri"/>
          <w:color w:val="000000"/>
          <w:sz w:val="24"/>
          <w:szCs w:val="24"/>
          <w:lang w:eastAsia="it-IT"/>
        </w:rPr>
      </w:pPr>
      <w:r>
        <w:rPr>
          <w:rFonts w:ascii="Calibri" w:eastAsia="Times New Roman" w:hAnsi="Calibri" w:cs="Calibri"/>
          <w:color w:val="000000"/>
          <w:sz w:val="24"/>
          <w:szCs w:val="24"/>
          <w:lang w:eastAsia="it-IT"/>
        </w:rPr>
        <w:t>Quindi riguardo l’attività di scongelamento di ovociti si è registrato un tasso di gravidanza per scongelamento del 25,2%, cioè si sono ottenute 25 gravidanze ogni 100 scongelamenti, e un tasso di parto per scongelamento del 14,7%. Per quanto riguarda l’attività di scongelamento del tessuto ovarico si è registrato un 93,4% di ripristino della funzionalità ovarica, un 19,7% di tasso di gravidanza per scongelamento e il 9,8% di tasso di parto per scongelamento.</w:t>
      </w:r>
    </w:p>
    <w:p w14:paraId="05F1FC3C" w14:textId="660EDB36" w:rsidR="00DE04E3" w:rsidRDefault="00DE04E3" w:rsidP="00DE04E3">
      <w:pPr>
        <w:spacing w:after="0" w:line="240" w:lineRule="auto"/>
        <w:jc w:val="both"/>
        <w:rPr>
          <w:rFonts w:ascii="Calibri" w:eastAsia="Times New Roman" w:hAnsi="Calibri" w:cs="Calibri"/>
          <w:color w:val="000000"/>
          <w:sz w:val="24"/>
          <w:szCs w:val="24"/>
          <w:lang w:eastAsia="it-IT"/>
        </w:rPr>
      </w:pPr>
    </w:p>
    <w:p w14:paraId="62FC9AFB" w14:textId="0FD26C66" w:rsidR="00DE04E3" w:rsidRDefault="00DE04E3" w:rsidP="00DE04E3">
      <w:pPr>
        <w:spacing w:after="0" w:line="240" w:lineRule="auto"/>
        <w:jc w:val="both"/>
        <w:rPr>
          <w:rFonts w:ascii="Calibri" w:eastAsia="Times New Roman" w:hAnsi="Calibri" w:cs="Calibri"/>
          <w:color w:val="000000"/>
          <w:sz w:val="24"/>
          <w:szCs w:val="24"/>
          <w:lang w:eastAsia="it-IT"/>
        </w:rPr>
      </w:pPr>
    </w:p>
    <w:p w14:paraId="16953709" w14:textId="756D0DA9" w:rsidR="00DE04E3" w:rsidRDefault="00DE04E3" w:rsidP="00DE04E3">
      <w:pPr>
        <w:spacing w:after="0" w:line="240" w:lineRule="auto"/>
        <w:jc w:val="both"/>
        <w:rPr>
          <w:rFonts w:ascii="Calibri" w:eastAsia="Times New Roman" w:hAnsi="Calibri" w:cs="Calibri"/>
          <w:color w:val="000000"/>
          <w:sz w:val="24"/>
          <w:szCs w:val="24"/>
          <w:lang w:eastAsia="it-IT"/>
        </w:rPr>
      </w:pPr>
    </w:p>
    <w:p w14:paraId="73B211D7" w14:textId="11635247" w:rsidR="00DE04E3" w:rsidRDefault="00DE04E3" w:rsidP="00DE04E3">
      <w:pPr>
        <w:spacing w:after="0" w:line="240" w:lineRule="auto"/>
        <w:jc w:val="both"/>
        <w:rPr>
          <w:rFonts w:ascii="Calibri" w:eastAsia="Times New Roman" w:hAnsi="Calibri" w:cs="Calibri"/>
          <w:color w:val="000000"/>
          <w:sz w:val="24"/>
          <w:szCs w:val="24"/>
          <w:lang w:eastAsia="it-IT"/>
        </w:rPr>
      </w:pPr>
    </w:p>
    <w:p w14:paraId="2A583A4C" w14:textId="15C13A8C" w:rsidR="00DE04E3" w:rsidRDefault="00DE04E3" w:rsidP="00DE04E3">
      <w:pPr>
        <w:spacing w:after="0" w:line="240" w:lineRule="auto"/>
        <w:jc w:val="both"/>
        <w:rPr>
          <w:rFonts w:ascii="Calibri" w:eastAsia="Times New Roman" w:hAnsi="Calibri" w:cs="Calibri"/>
          <w:color w:val="000000"/>
          <w:sz w:val="24"/>
          <w:szCs w:val="24"/>
          <w:lang w:eastAsia="it-IT"/>
        </w:rPr>
      </w:pPr>
    </w:p>
    <w:p w14:paraId="30EFC488" w14:textId="79536DAB" w:rsidR="00DE04E3" w:rsidRDefault="00DE04E3" w:rsidP="00DE04E3">
      <w:pPr>
        <w:spacing w:after="0" w:line="240" w:lineRule="auto"/>
        <w:jc w:val="both"/>
        <w:rPr>
          <w:rFonts w:ascii="Calibri" w:eastAsia="Times New Roman" w:hAnsi="Calibri" w:cs="Calibri"/>
          <w:color w:val="000000"/>
          <w:sz w:val="24"/>
          <w:szCs w:val="24"/>
          <w:lang w:eastAsia="it-IT"/>
        </w:rPr>
      </w:pPr>
    </w:p>
    <w:p w14:paraId="10A33847" w14:textId="3D042986" w:rsidR="00DE04E3" w:rsidRDefault="00DE04E3" w:rsidP="00DE04E3">
      <w:pPr>
        <w:spacing w:after="0" w:line="240" w:lineRule="auto"/>
        <w:jc w:val="both"/>
        <w:rPr>
          <w:rFonts w:ascii="Calibri" w:eastAsia="Times New Roman" w:hAnsi="Calibri" w:cs="Calibri"/>
          <w:color w:val="000000"/>
          <w:sz w:val="24"/>
          <w:szCs w:val="24"/>
          <w:lang w:eastAsia="it-IT"/>
        </w:rPr>
      </w:pPr>
    </w:p>
    <w:p w14:paraId="63B9D218" w14:textId="6ABDC971" w:rsidR="00DE04E3" w:rsidRDefault="00DE04E3" w:rsidP="00DE04E3">
      <w:pPr>
        <w:spacing w:after="0" w:line="240" w:lineRule="auto"/>
        <w:jc w:val="both"/>
        <w:rPr>
          <w:rFonts w:ascii="Calibri" w:eastAsia="Times New Roman" w:hAnsi="Calibri" w:cs="Calibri"/>
          <w:color w:val="000000"/>
          <w:sz w:val="24"/>
          <w:szCs w:val="24"/>
          <w:lang w:eastAsia="it-IT"/>
        </w:rPr>
      </w:pPr>
    </w:p>
    <w:p w14:paraId="0DE5F561" w14:textId="77777777" w:rsidR="00DE04E3" w:rsidRDefault="00DE04E3" w:rsidP="00DE04E3">
      <w:pPr>
        <w:spacing w:after="0" w:line="240" w:lineRule="auto"/>
        <w:jc w:val="both"/>
        <w:rPr>
          <w:rFonts w:ascii="Calibri" w:eastAsia="Times New Roman" w:hAnsi="Calibri" w:cs="Calibri"/>
          <w:color w:val="000000"/>
          <w:sz w:val="24"/>
          <w:szCs w:val="24"/>
          <w:lang w:eastAsia="it-IT"/>
        </w:rPr>
      </w:pPr>
    </w:p>
    <w:p w14:paraId="4364EB71" w14:textId="11A93947" w:rsidR="00DE04E3" w:rsidRDefault="00DE04E3" w:rsidP="00DE04E3">
      <w:pPr>
        <w:spacing w:after="0" w:line="240" w:lineRule="auto"/>
        <w:jc w:val="both"/>
        <w:rPr>
          <w:rFonts w:ascii="Calibri" w:eastAsia="Times New Roman" w:hAnsi="Calibri" w:cs="Calibri"/>
          <w:color w:val="000000"/>
          <w:sz w:val="24"/>
          <w:szCs w:val="24"/>
          <w:lang w:eastAsia="it-IT"/>
        </w:rPr>
      </w:pPr>
    </w:p>
    <w:p w14:paraId="24070980" w14:textId="77777777" w:rsidR="00DE04E3" w:rsidRDefault="00DE04E3" w:rsidP="00DE04E3">
      <w:pPr>
        <w:spacing w:after="0" w:line="240" w:lineRule="auto"/>
        <w:jc w:val="both"/>
        <w:rPr>
          <w:rFonts w:ascii="Calibri" w:eastAsia="Times New Roman" w:hAnsi="Calibri" w:cs="Calibri"/>
          <w:color w:val="000000"/>
          <w:sz w:val="24"/>
          <w:szCs w:val="24"/>
          <w:lang w:eastAsia="it-IT"/>
        </w:rPr>
      </w:pPr>
    </w:p>
    <w:p w14:paraId="2F663961" w14:textId="4A035158" w:rsidR="00DE04E3" w:rsidRDefault="00DE04E3" w:rsidP="00DE04E3">
      <w:pPr>
        <w:spacing w:after="0" w:line="240" w:lineRule="auto"/>
        <w:jc w:val="both"/>
        <w:rPr>
          <w:rFonts w:ascii="Calibri" w:eastAsia="Times New Roman" w:hAnsi="Calibri" w:cs="Calibri"/>
          <w:color w:val="000000"/>
          <w:sz w:val="24"/>
          <w:szCs w:val="24"/>
          <w:lang w:eastAsia="it-IT"/>
        </w:rPr>
      </w:pPr>
    </w:p>
    <w:p w14:paraId="22637D60" w14:textId="77777777" w:rsidR="00DE04E3" w:rsidRPr="00DE04E3" w:rsidRDefault="00DE04E3" w:rsidP="00DE04E3">
      <w:pPr>
        <w:rPr>
          <w:rFonts w:ascii="Calibri" w:eastAsia="Times New Roman" w:hAnsi="Calibri" w:cs="Calibri"/>
          <w:sz w:val="24"/>
          <w:szCs w:val="24"/>
          <w:lang w:eastAsia="it-IT"/>
        </w:rPr>
      </w:pPr>
    </w:p>
    <w:p w14:paraId="33FF5ECD" w14:textId="77777777" w:rsidR="00DE04E3" w:rsidRPr="00DE04E3" w:rsidRDefault="00DE04E3" w:rsidP="00DE04E3">
      <w:pPr>
        <w:rPr>
          <w:rFonts w:ascii="Calibri" w:eastAsia="Times New Roman" w:hAnsi="Calibri" w:cs="Calibri"/>
          <w:sz w:val="24"/>
          <w:szCs w:val="24"/>
          <w:lang w:eastAsia="it-IT"/>
        </w:rPr>
      </w:pPr>
    </w:p>
    <w:p w14:paraId="6F6B87A3" w14:textId="77777777" w:rsidR="00DE04E3" w:rsidRPr="00DE04E3" w:rsidRDefault="00DE04E3" w:rsidP="00DE04E3">
      <w:pPr>
        <w:rPr>
          <w:rFonts w:ascii="Calibri" w:eastAsia="Times New Roman" w:hAnsi="Calibri" w:cs="Calibri"/>
          <w:sz w:val="24"/>
          <w:szCs w:val="24"/>
          <w:lang w:eastAsia="it-IT"/>
        </w:rPr>
      </w:pPr>
    </w:p>
    <w:p w14:paraId="1B7D23E5" w14:textId="77777777" w:rsidR="00DE04E3" w:rsidRPr="00DE04E3" w:rsidRDefault="00DE04E3" w:rsidP="00DE04E3">
      <w:pPr>
        <w:rPr>
          <w:rFonts w:ascii="Calibri" w:eastAsia="Times New Roman" w:hAnsi="Calibri" w:cs="Calibri"/>
          <w:sz w:val="24"/>
          <w:szCs w:val="24"/>
          <w:lang w:eastAsia="it-IT"/>
        </w:rPr>
      </w:pPr>
    </w:p>
    <w:p w14:paraId="7C548544" w14:textId="0E965682" w:rsidR="00DE04E3" w:rsidRDefault="00DE04E3" w:rsidP="00DE04E3">
      <w:pPr>
        <w:tabs>
          <w:tab w:val="left" w:pos="5850"/>
        </w:tabs>
        <w:rPr>
          <w:rFonts w:ascii="Calibri" w:eastAsia="Times New Roman" w:hAnsi="Calibri" w:cs="Calibri"/>
          <w:sz w:val="24"/>
          <w:szCs w:val="24"/>
          <w:lang w:eastAsia="it-IT"/>
        </w:rPr>
      </w:pPr>
      <w:r>
        <w:rPr>
          <w:rFonts w:ascii="Calibri" w:eastAsia="Times New Roman" w:hAnsi="Calibri" w:cs="Calibri"/>
          <w:sz w:val="24"/>
          <w:szCs w:val="24"/>
          <w:lang w:eastAsia="it-IT"/>
        </w:rPr>
        <w:tab/>
      </w:r>
    </w:p>
    <w:p w14:paraId="38816762" w14:textId="5767F03E" w:rsidR="00DE04E3" w:rsidRDefault="00DE04E3" w:rsidP="00DE04E3">
      <w:pPr>
        <w:tabs>
          <w:tab w:val="left" w:pos="5850"/>
        </w:tabs>
        <w:rPr>
          <w:rFonts w:ascii="Calibri" w:eastAsia="Times New Roman" w:hAnsi="Calibri" w:cs="Calibri"/>
          <w:sz w:val="24"/>
          <w:szCs w:val="24"/>
          <w:lang w:eastAsia="it-IT"/>
        </w:rPr>
      </w:pPr>
    </w:p>
    <w:p w14:paraId="49786BF7" w14:textId="2BD2BCB9" w:rsidR="00DE04E3" w:rsidRDefault="00DE04E3" w:rsidP="00DE04E3">
      <w:pPr>
        <w:tabs>
          <w:tab w:val="left" w:pos="5850"/>
        </w:tabs>
        <w:rPr>
          <w:rFonts w:ascii="Calibri" w:eastAsia="Times New Roman" w:hAnsi="Calibri" w:cs="Calibri"/>
          <w:sz w:val="24"/>
          <w:szCs w:val="24"/>
          <w:lang w:eastAsia="it-IT"/>
        </w:rPr>
      </w:pPr>
    </w:p>
    <w:p w14:paraId="4E9EBE74" w14:textId="77777777" w:rsidR="00DE04E3" w:rsidRPr="00DE04E3" w:rsidRDefault="00DE04E3" w:rsidP="00DE04E3">
      <w:pPr>
        <w:tabs>
          <w:tab w:val="left" w:pos="5850"/>
        </w:tabs>
        <w:rPr>
          <w:rFonts w:ascii="Calibri" w:eastAsia="Times New Roman" w:hAnsi="Calibri" w:cs="Calibri"/>
          <w:sz w:val="24"/>
          <w:szCs w:val="24"/>
          <w:lang w:eastAsia="it-IT"/>
        </w:rPr>
      </w:pPr>
    </w:p>
    <w:p w14:paraId="7FB3FED3" w14:textId="77777777" w:rsidR="00DE04E3" w:rsidRDefault="00DE04E3" w:rsidP="00DE04E3">
      <w:pPr>
        <w:spacing w:after="120" w:line="240" w:lineRule="auto"/>
        <w:jc w:val="both"/>
        <w:rPr>
          <w:rFonts w:ascii="Calibri" w:eastAsia="Times New Roman" w:hAnsi="Calibri" w:cs="Calibri"/>
          <w:color w:val="000000"/>
          <w:sz w:val="24"/>
          <w:szCs w:val="24"/>
          <w:lang w:eastAsia="it-IT"/>
        </w:rPr>
      </w:pPr>
      <w:r w:rsidRPr="00F420D1">
        <w:rPr>
          <w:rFonts w:ascii="Calibri" w:eastAsia="Times New Roman" w:hAnsi="Calibri" w:cs="Calibri"/>
          <w:noProof/>
          <w:color w:val="000000"/>
          <w:sz w:val="24"/>
          <w:szCs w:val="24"/>
          <w:lang w:eastAsia="it-IT"/>
        </w:rPr>
        <w:drawing>
          <wp:inline distT="0" distB="0" distL="0" distR="0" wp14:anchorId="45FD4141" wp14:editId="7232431B">
            <wp:extent cx="5638800" cy="2585961"/>
            <wp:effectExtent l="0" t="0" r="0" b="508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62426" cy="2596796"/>
                    </a:xfrm>
                    <a:prstGeom prst="rect">
                      <a:avLst/>
                    </a:prstGeom>
                  </pic:spPr>
                </pic:pic>
              </a:graphicData>
            </a:graphic>
          </wp:inline>
        </w:drawing>
      </w:r>
    </w:p>
    <w:p w14:paraId="3743D485" w14:textId="77777777" w:rsidR="00DE04E3" w:rsidRDefault="00DE04E3" w:rsidP="00DE04E3">
      <w:pPr>
        <w:spacing w:after="120" w:line="240" w:lineRule="auto"/>
        <w:jc w:val="both"/>
        <w:rPr>
          <w:rFonts w:ascii="Calibri" w:eastAsia="Times New Roman" w:hAnsi="Calibri" w:cs="Calibri"/>
          <w:color w:val="000000"/>
          <w:sz w:val="24"/>
          <w:szCs w:val="24"/>
          <w:lang w:eastAsia="it-IT"/>
        </w:rPr>
      </w:pPr>
    </w:p>
    <w:p w14:paraId="403CD380" w14:textId="3AFD394A" w:rsidR="00DE04E3" w:rsidRDefault="00DE04E3" w:rsidP="00DE04E3">
      <w:pPr>
        <w:spacing w:after="120" w:line="240" w:lineRule="auto"/>
        <w:jc w:val="both"/>
        <w:rPr>
          <w:rFonts w:ascii="Calibri" w:eastAsia="Times New Roman" w:hAnsi="Calibri" w:cs="Calibri"/>
          <w:color w:val="000000"/>
          <w:sz w:val="24"/>
          <w:szCs w:val="24"/>
          <w:lang w:eastAsia="it-IT"/>
        </w:rPr>
      </w:pPr>
    </w:p>
    <w:p w14:paraId="1F8B9ADC" w14:textId="77777777" w:rsidR="00DE04E3" w:rsidRDefault="00DE04E3" w:rsidP="00DE04E3">
      <w:pPr>
        <w:spacing w:after="120" w:line="240" w:lineRule="auto"/>
        <w:jc w:val="both"/>
        <w:rPr>
          <w:rFonts w:ascii="Calibri" w:eastAsia="Times New Roman" w:hAnsi="Calibri" w:cs="Calibri"/>
          <w:color w:val="000000"/>
          <w:sz w:val="24"/>
          <w:szCs w:val="24"/>
          <w:lang w:eastAsia="it-IT"/>
        </w:rPr>
      </w:pPr>
    </w:p>
    <w:p w14:paraId="788A9F87" w14:textId="0D455CCC" w:rsidR="00DE04E3" w:rsidRDefault="00DE04E3" w:rsidP="00DE04E3">
      <w:pPr>
        <w:spacing w:after="120" w:line="240" w:lineRule="auto"/>
        <w:jc w:val="both"/>
        <w:rPr>
          <w:rFonts w:ascii="Calibri" w:eastAsia="Times New Roman" w:hAnsi="Calibri" w:cs="Calibri"/>
          <w:color w:val="000000"/>
          <w:sz w:val="24"/>
          <w:szCs w:val="24"/>
          <w:lang w:eastAsia="it-IT"/>
        </w:rPr>
      </w:pPr>
      <w:r w:rsidRPr="009D44DB">
        <w:rPr>
          <w:rFonts w:ascii="Calibri" w:eastAsia="Times New Roman" w:hAnsi="Calibri" w:cs="Calibri"/>
          <w:noProof/>
          <w:color w:val="000000"/>
          <w:sz w:val="24"/>
          <w:szCs w:val="24"/>
          <w:lang w:eastAsia="it-IT"/>
        </w:rPr>
        <w:drawing>
          <wp:inline distT="0" distB="0" distL="0" distR="0" wp14:anchorId="36F42A70" wp14:editId="500CCFB2">
            <wp:extent cx="6120130" cy="255397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2553970"/>
                    </a:xfrm>
                    <a:prstGeom prst="rect">
                      <a:avLst/>
                    </a:prstGeom>
                  </pic:spPr>
                </pic:pic>
              </a:graphicData>
            </a:graphic>
          </wp:inline>
        </w:drawing>
      </w:r>
    </w:p>
    <w:p w14:paraId="3905A67F" w14:textId="49C0AEA1" w:rsidR="00DE04E3" w:rsidRDefault="00DE04E3" w:rsidP="00DE04E3">
      <w:pPr>
        <w:spacing w:after="120" w:line="240" w:lineRule="auto"/>
        <w:jc w:val="both"/>
        <w:rPr>
          <w:rFonts w:ascii="Calibri" w:eastAsia="Times New Roman" w:hAnsi="Calibri" w:cs="Calibri"/>
          <w:color w:val="000000"/>
          <w:sz w:val="24"/>
          <w:szCs w:val="24"/>
          <w:lang w:eastAsia="it-IT"/>
        </w:rPr>
      </w:pPr>
    </w:p>
    <w:p w14:paraId="7FF845FA" w14:textId="77777777" w:rsidR="00DE04E3" w:rsidRDefault="00DE04E3" w:rsidP="00DE04E3">
      <w:pPr>
        <w:spacing w:after="120" w:line="240" w:lineRule="auto"/>
        <w:jc w:val="both"/>
        <w:rPr>
          <w:rFonts w:ascii="Calibri" w:eastAsia="Times New Roman" w:hAnsi="Calibri" w:cs="Calibri"/>
          <w:color w:val="000000"/>
          <w:sz w:val="24"/>
          <w:szCs w:val="24"/>
          <w:lang w:eastAsia="it-IT"/>
        </w:rPr>
      </w:pPr>
    </w:p>
    <w:p w14:paraId="44E0D6B8" w14:textId="009A290A" w:rsidR="00DE04E3" w:rsidRDefault="00DE04E3" w:rsidP="00DE04E3">
      <w:pPr>
        <w:spacing w:after="120" w:line="240" w:lineRule="auto"/>
        <w:jc w:val="both"/>
        <w:rPr>
          <w:rFonts w:ascii="Calibri" w:eastAsia="Times New Roman" w:hAnsi="Calibri" w:cs="Calibri"/>
          <w:color w:val="000000"/>
          <w:sz w:val="24"/>
          <w:szCs w:val="24"/>
          <w:lang w:eastAsia="it-IT"/>
        </w:rPr>
      </w:pPr>
    </w:p>
    <w:p w14:paraId="35251018" w14:textId="69E729AE" w:rsidR="00DE04E3" w:rsidRDefault="00DE04E3" w:rsidP="00DE04E3">
      <w:pPr>
        <w:spacing w:after="120" w:line="240" w:lineRule="auto"/>
        <w:jc w:val="both"/>
        <w:rPr>
          <w:rFonts w:ascii="Calibri" w:eastAsia="Times New Roman" w:hAnsi="Calibri" w:cs="Calibri"/>
          <w:color w:val="000000"/>
          <w:sz w:val="24"/>
          <w:szCs w:val="24"/>
          <w:lang w:eastAsia="it-IT"/>
        </w:rPr>
      </w:pPr>
    </w:p>
    <w:p w14:paraId="7916E990" w14:textId="77777777" w:rsidR="00DE04E3" w:rsidRDefault="00DE04E3" w:rsidP="00DE04E3">
      <w:pPr>
        <w:spacing w:after="120" w:line="240" w:lineRule="auto"/>
        <w:jc w:val="both"/>
        <w:rPr>
          <w:rFonts w:ascii="Calibri" w:eastAsia="Times New Roman" w:hAnsi="Calibri" w:cs="Calibri"/>
          <w:color w:val="000000"/>
          <w:sz w:val="24"/>
          <w:szCs w:val="24"/>
          <w:lang w:eastAsia="it-IT"/>
        </w:rPr>
      </w:pPr>
      <w:r w:rsidRPr="00F420D1">
        <w:rPr>
          <w:rFonts w:ascii="Calibri" w:eastAsia="Times New Roman" w:hAnsi="Calibri" w:cs="Calibri"/>
          <w:noProof/>
          <w:color w:val="000000"/>
          <w:sz w:val="24"/>
          <w:szCs w:val="24"/>
          <w:lang w:eastAsia="it-IT"/>
        </w:rPr>
        <w:drawing>
          <wp:inline distT="0" distB="0" distL="0" distR="0" wp14:anchorId="1688C4AC" wp14:editId="17EDA845">
            <wp:extent cx="6120130" cy="284353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2843530"/>
                    </a:xfrm>
                    <a:prstGeom prst="rect">
                      <a:avLst/>
                    </a:prstGeom>
                  </pic:spPr>
                </pic:pic>
              </a:graphicData>
            </a:graphic>
          </wp:inline>
        </w:drawing>
      </w:r>
    </w:p>
    <w:p w14:paraId="7F0B2C53" w14:textId="77777777" w:rsidR="00DE04E3" w:rsidRDefault="00DE04E3" w:rsidP="00DE04E3">
      <w:pPr>
        <w:spacing w:after="120" w:line="240" w:lineRule="auto"/>
        <w:jc w:val="both"/>
        <w:rPr>
          <w:rFonts w:ascii="Calibri" w:eastAsia="Times New Roman" w:hAnsi="Calibri" w:cs="Calibri"/>
          <w:color w:val="000000"/>
          <w:sz w:val="24"/>
          <w:szCs w:val="24"/>
          <w:lang w:eastAsia="it-IT"/>
        </w:rPr>
      </w:pPr>
    </w:p>
    <w:p w14:paraId="6AB06575" w14:textId="77777777" w:rsidR="00DE04E3" w:rsidRDefault="00DE04E3" w:rsidP="00DE04E3">
      <w:pPr>
        <w:spacing w:after="120" w:line="240" w:lineRule="auto"/>
        <w:jc w:val="both"/>
        <w:rPr>
          <w:rFonts w:ascii="Calibri" w:eastAsia="Times New Roman" w:hAnsi="Calibri" w:cs="Calibri"/>
          <w:color w:val="000000"/>
          <w:sz w:val="24"/>
          <w:szCs w:val="24"/>
          <w:lang w:eastAsia="it-IT"/>
        </w:rPr>
      </w:pPr>
    </w:p>
    <w:p w14:paraId="0C313CB5" w14:textId="77777777" w:rsidR="00DE04E3" w:rsidRDefault="00DE04E3" w:rsidP="00DE04E3">
      <w:pPr>
        <w:spacing w:after="120" w:line="240" w:lineRule="auto"/>
        <w:jc w:val="both"/>
        <w:rPr>
          <w:rFonts w:ascii="Calibri" w:eastAsia="Times New Roman" w:hAnsi="Calibri" w:cs="Calibri"/>
          <w:color w:val="000000"/>
          <w:sz w:val="24"/>
          <w:szCs w:val="24"/>
          <w:lang w:eastAsia="it-IT"/>
        </w:rPr>
      </w:pPr>
      <w:r w:rsidRPr="009D44DB">
        <w:rPr>
          <w:rFonts w:ascii="Calibri" w:eastAsia="Times New Roman" w:hAnsi="Calibri" w:cs="Calibri"/>
          <w:noProof/>
          <w:color w:val="000000"/>
          <w:sz w:val="24"/>
          <w:szCs w:val="24"/>
          <w:lang w:eastAsia="it-IT"/>
        </w:rPr>
        <w:drawing>
          <wp:inline distT="0" distB="0" distL="0" distR="0" wp14:anchorId="135D11DF" wp14:editId="74835154">
            <wp:extent cx="6120130" cy="2526030"/>
            <wp:effectExtent l="0" t="0" r="0" b="762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2526030"/>
                    </a:xfrm>
                    <a:prstGeom prst="rect">
                      <a:avLst/>
                    </a:prstGeom>
                  </pic:spPr>
                </pic:pic>
              </a:graphicData>
            </a:graphic>
          </wp:inline>
        </w:drawing>
      </w:r>
    </w:p>
    <w:p w14:paraId="57F2A140" w14:textId="77777777" w:rsidR="00DE04E3" w:rsidRDefault="00DE04E3" w:rsidP="00DE04E3">
      <w:pPr>
        <w:spacing w:after="120" w:line="240" w:lineRule="auto"/>
        <w:jc w:val="both"/>
        <w:rPr>
          <w:rFonts w:ascii="Calibri" w:eastAsia="Times New Roman" w:hAnsi="Calibri" w:cs="Calibri"/>
          <w:color w:val="000000"/>
          <w:sz w:val="24"/>
          <w:szCs w:val="24"/>
          <w:lang w:eastAsia="it-IT"/>
        </w:rPr>
      </w:pPr>
    </w:p>
    <w:p w14:paraId="1221089E" w14:textId="72A192CF" w:rsidR="00DE04E3" w:rsidRDefault="00DE04E3" w:rsidP="00DE04E3">
      <w:pPr>
        <w:spacing w:after="120" w:line="240" w:lineRule="auto"/>
        <w:jc w:val="both"/>
        <w:rPr>
          <w:rFonts w:ascii="Calibri" w:eastAsia="Times New Roman" w:hAnsi="Calibri" w:cs="Calibri"/>
          <w:color w:val="000000"/>
          <w:sz w:val="24"/>
          <w:szCs w:val="24"/>
          <w:lang w:eastAsia="it-IT"/>
        </w:rPr>
      </w:pPr>
    </w:p>
    <w:p w14:paraId="3B8A0D4E" w14:textId="3A2D37C9" w:rsidR="00DE04E3" w:rsidRDefault="00DE04E3" w:rsidP="00DE04E3">
      <w:pPr>
        <w:spacing w:after="120" w:line="240" w:lineRule="auto"/>
        <w:jc w:val="both"/>
        <w:rPr>
          <w:rFonts w:ascii="Calibri" w:eastAsia="Times New Roman" w:hAnsi="Calibri" w:cs="Calibri"/>
          <w:color w:val="000000"/>
          <w:sz w:val="24"/>
          <w:szCs w:val="24"/>
          <w:lang w:eastAsia="it-IT"/>
        </w:rPr>
      </w:pPr>
    </w:p>
    <w:p w14:paraId="73C1FAAD" w14:textId="77777777" w:rsidR="00DE04E3" w:rsidRDefault="00DE04E3" w:rsidP="00DE04E3">
      <w:pPr>
        <w:spacing w:after="120" w:line="240" w:lineRule="auto"/>
        <w:jc w:val="both"/>
        <w:rPr>
          <w:rFonts w:ascii="Calibri" w:eastAsia="Times New Roman" w:hAnsi="Calibri" w:cs="Calibri"/>
          <w:color w:val="000000"/>
          <w:sz w:val="24"/>
          <w:szCs w:val="24"/>
          <w:lang w:eastAsia="it-IT"/>
        </w:rPr>
      </w:pPr>
    </w:p>
    <w:p w14:paraId="721A4BAF" w14:textId="77777777" w:rsidR="0064297D" w:rsidRDefault="0064297D" w:rsidP="00DE04E3">
      <w:pPr>
        <w:spacing w:after="120" w:line="240" w:lineRule="auto"/>
        <w:jc w:val="both"/>
        <w:rPr>
          <w:rFonts w:ascii="Calibri" w:eastAsia="Times New Roman" w:hAnsi="Calibri" w:cs="Calibri"/>
          <w:b/>
          <w:color w:val="000000"/>
          <w:sz w:val="24"/>
          <w:szCs w:val="24"/>
          <w:lang w:eastAsia="it-IT"/>
        </w:rPr>
      </w:pPr>
    </w:p>
    <w:p w14:paraId="55824797" w14:textId="6C32C0C6" w:rsidR="008E3A7D" w:rsidRPr="008E3A7D" w:rsidRDefault="008E3A7D" w:rsidP="00DE04E3">
      <w:pPr>
        <w:spacing w:after="120" w:line="240" w:lineRule="auto"/>
        <w:jc w:val="both"/>
        <w:rPr>
          <w:rFonts w:ascii="Calibri" w:eastAsia="Times New Roman" w:hAnsi="Calibri" w:cs="Calibri"/>
          <w:b/>
          <w:color w:val="000000"/>
          <w:sz w:val="24"/>
          <w:szCs w:val="24"/>
          <w:lang w:eastAsia="it-IT"/>
        </w:rPr>
      </w:pPr>
      <w:r w:rsidRPr="008E3A7D">
        <w:rPr>
          <w:rFonts w:ascii="Calibri" w:eastAsia="Times New Roman" w:hAnsi="Calibri" w:cs="Calibri"/>
          <w:b/>
          <w:color w:val="000000"/>
          <w:sz w:val="24"/>
          <w:szCs w:val="24"/>
          <w:lang w:eastAsia="it-IT"/>
        </w:rPr>
        <w:t>Nel prossimo futuro…</w:t>
      </w:r>
    </w:p>
    <w:p w14:paraId="18544C40" w14:textId="0EBF21D9" w:rsidR="00DE04E3" w:rsidRPr="00A611B3" w:rsidRDefault="00DE04E3" w:rsidP="00DE04E3">
      <w:pPr>
        <w:spacing w:after="120" w:line="240" w:lineRule="auto"/>
        <w:jc w:val="both"/>
        <w:rPr>
          <w:rFonts w:ascii="Calibri" w:eastAsia="Times New Roman" w:hAnsi="Calibri" w:cs="Calibri"/>
          <w:color w:val="000000"/>
          <w:sz w:val="24"/>
          <w:szCs w:val="24"/>
          <w:lang w:eastAsia="it-IT"/>
        </w:rPr>
      </w:pPr>
      <w:r>
        <w:rPr>
          <w:rFonts w:ascii="Calibri" w:eastAsia="Times New Roman" w:hAnsi="Calibri" w:cs="Calibri"/>
          <w:color w:val="000000"/>
          <w:sz w:val="24"/>
          <w:szCs w:val="24"/>
          <w:lang w:eastAsia="it-IT"/>
        </w:rPr>
        <w:t>Nell’ambito del Registro Nazionale della PMA è incluso quindi i</w:t>
      </w:r>
      <w:r w:rsidRPr="00A611B3">
        <w:rPr>
          <w:rFonts w:ascii="Calibri" w:eastAsia="Times New Roman" w:hAnsi="Calibri" w:cs="Calibri"/>
          <w:color w:val="000000"/>
          <w:sz w:val="24"/>
          <w:szCs w:val="24"/>
          <w:lang w:eastAsia="it-IT"/>
        </w:rPr>
        <w:t xml:space="preserve">l sistema di sorveglianza epidemiologica dei dati sulla preservazione della fertilità </w:t>
      </w:r>
      <w:r>
        <w:rPr>
          <w:rFonts w:ascii="Calibri" w:eastAsia="Times New Roman" w:hAnsi="Calibri" w:cs="Calibri"/>
          <w:color w:val="000000"/>
          <w:sz w:val="24"/>
          <w:szCs w:val="24"/>
          <w:lang w:eastAsia="it-IT"/>
        </w:rPr>
        <w:t>che attualmente opera in modalità di raccolta dati aggregata. Con il progetto eseguito dal 2021 al 2023 si è sviluppato un nuovo sistema che in futuro garantirà</w:t>
      </w:r>
      <w:r w:rsidRPr="00A611B3">
        <w:rPr>
          <w:rFonts w:ascii="Calibri" w:eastAsia="Times New Roman" w:hAnsi="Calibri" w:cs="Calibri"/>
          <w:color w:val="000000"/>
          <w:sz w:val="24"/>
          <w:szCs w:val="24"/>
          <w:lang w:eastAsia="it-IT"/>
        </w:rPr>
        <w:t>:</w:t>
      </w:r>
    </w:p>
    <w:p w14:paraId="74FDE539" w14:textId="77777777" w:rsidR="00DE04E3" w:rsidRPr="00133A75" w:rsidRDefault="00DE04E3" w:rsidP="00DE04E3">
      <w:pPr>
        <w:pStyle w:val="Paragrafoelenco"/>
        <w:numPr>
          <w:ilvl w:val="0"/>
          <w:numId w:val="2"/>
        </w:numPr>
        <w:spacing w:after="0" w:line="240" w:lineRule="auto"/>
        <w:ind w:left="851" w:hanging="284"/>
        <w:jc w:val="both"/>
        <w:rPr>
          <w:rFonts w:ascii="Calibri" w:eastAsia="Times New Roman" w:hAnsi="Calibri" w:cs="Calibri"/>
          <w:color w:val="000000"/>
          <w:sz w:val="24"/>
          <w:szCs w:val="24"/>
          <w:lang w:eastAsia="it-IT"/>
        </w:rPr>
      </w:pPr>
      <w:r w:rsidRPr="00133A75">
        <w:rPr>
          <w:rFonts w:ascii="Calibri" w:eastAsia="Times New Roman" w:hAnsi="Calibri" w:cs="Calibri"/>
          <w:color w:val="000000"/>
          <w:sz w:val="24"/>
          <w:szCs w:val="24"/>
          <w:lang w:eastAsia="it-IT"/>
        </w:rPr>
        <w:t>la definizione del quadro dell’offerta e dell’applicazione di queste tecniche nel nostro Paese;</w:t>
      </w:r>
    </w:p>
    <w:p w14:paraId="4B4FC1D4" w14:textId="77777777" w:rsidR="00DE04E3" w:rsidRPr="00133A75" w:rsidRDefault="00DE04E3" w:rsidP="00DE04E3">
      <w:pPr>
        <w:pStyle w:val="Paragrafoelenco"/>
        <w:numPr>
          <w:ilvl w:val="0"/>
          <w:numId w:val="2"/>
        </w:numPr>
        <w:spacing w:after="0" w:line="240" w:lineRule="auto"/>
        <w:ind w:left="851" w:hanging="284"/>
        <w:jc w:val="both"/>
        <w:rPr>
          <w:rFonts w:ascii="Calibri" w:eastAsia="Times New Roman" w:hAnsi="Calibri" w:cs="Calibri"/>
          <w:color w:val="000000"/>
          <w:sz w:val="24"/>
          <w:szCs w:val="24"/>
          <w:lang w:eastAsia="it-IT"/>
        </w:rPr>
      </w:pPr>
      <w:r w:rsidRPr="00133A75">
        <w:rPr>
          <w:rFonts w:ascii="Calibri" w:eastAsia="Times New Roman" w:hAnsi="Calibri" w:cs="Calibri"/>
          <w:color w:val="000000"/>
          <w:sz w:val="24"/>
          <w:szCs w:val="24"/>
          <w:lang w:eastAsia="it-IT"/>
        </w:rPr>
        <w:t>la valutazione della Sicurezza relativa alla loro applicazione;</w:t>
      </w:r>
    </w:p>
    <w:p w14:paraId="4DCBC140" w14:textId="77777777" w:rsidR="00DE04E3" w:rsidRPr="00133A75" w:rsidRDefault="00DE04E3" w:rsidP="00DE04E3">
      <w:pPr>
        <w:pStyle w:val="Paragrafoelenco"/>
        <w:numPr>
          <w:ilvl w:val="0"/>
          <w:numId w:val="2"/>
        </w:numPr>
        <w:spacing w:after="0" w:line="240" w:lineRule="auto"/>
        <w:ind w:left="851" w:hanging="284"/>
        <w:jc w:val="both"/>
        <w:rPr>
          <w:rFonts w:ascii="Calibri" w:eastAsia="Times New Roman" w:hAnsi="Calibri" w:cs="Calibri"/>
          <w:color w:val="000000"/>
          <w:sz w:val="24"/>
          <w:szCs w:val="24"/>
          <w:lang w:eastAsia="it-IT"/>
        </w:rPr>
      </w:pPr>
      <w:r w:rsidRPr="00133A75">
        <w:rPr>
          <w:rFonts w:ascii="Calibri" w:eastAsia="Times New Roman" w:hAnsi="Calibri" w:cs="Calibri"/>
          <w:color w:val="000000"/>
          <w:sz w:val="24"/>
          <w:szCs w:val="24"/>
          <w:lang w:eastAsia="it-IT"/>
        </w:rPr>
        <w:t>l’acquisizione delle informazioni relative ai centri che offrono le procedure e al controllo delle</w:t>
      </w:r>
      <w:r>
        <w:rPr>
          <w:rFonts w:ascii="Calibri" w:eastAsia="Times New Roman" w:hAnsi="Calibri" w:cs="Calibri"/>
          <w:color w:val="000000"/>
          <w:sz w:val="24"/>
          <w:szCs w:val="24"/>
          <w:lang w:eastAsia="it-IT"/>
        </w:rPr>
        <w:t xml:space="preserve"> </w:t>
      </w:r>
      <w:r w:rsidRPr="00133A75">
        <w:rPr>
          <w:rFonts w:ascii="Calibri" w:eastAsia="Times New Roman" w:hAnsi="Calibri" w:cs="Calibri"/>
          <w:color w:val="000000"/>
          <w:sz w:val="24"/>
          <w:szCs w:val="24"/>
          <w:lang w:eastAsia="it-IT"/>
        </w:rPr>
        <w:t>stesse;</w:t>
      </w:r>
    </w:p>
    <w:p w14:paraId="1CC188EC" w14:textId="77777777" w:rsidR="00DE04E3" w:rsidRPr="00133A75" w:rsidRDefault="00DE04E3" w:rsidP="00DE04E3">
      <w:pPr>
        <w:pStyle w:val="Paragrafoelenco"/>
        <w:numPr>
          <w:ilvl w:val="0"/>
          <w:numId w:val="2"/>
        </w:numPr>
        <w:spacing w:after="120" w:line="240" w:lineRule="auto"/>
        <w:ind w:left="851" w:hanging="284"/>
        <w:jc w:val="both"/>
        <w:rPr>
          <w:rFonts w:ascii="Calibri" w:eastAsia="Times New Roman" w:hAnsi="Calibri" w:cs="Calibri"/>
          <w:color w:val="000000"/>
          <w:sz w:val="24"/>
          <w:szCs w:val="24"/>
          <w:lang w:eastAsia="it-IT"/>
        </w:rPr>
      </w:pPr>
      <w:r w:rsidRPr="00133A75">
        <w:rPr>
          <w:rFonts w:ascii="Calibri" w:eastAsia="Times New Roman" w:hAnsi="Calibri" w:cs="Calibri"/>
          <w:color w:val="000000"/>
          <w:sz w:val="24"/>
          <w:szCs w:val="24"/>
          <w:lang w:eastAsia="it-IT"/>
        </w:rPr>
        <w:t>la trasparenza nella comunicazione sulle strutture che offrono tali prestazioni, sull’utenza</w:t>
      </w:r>
      <w:r>
        <w:rPr>
          <w:rFonts w:ascii="Calibri" w:eastAsia="Times New Roman" w:hAnsi="Calibri" w:cs="Calibri"/>
          <w:color w:val="000000"/>
          <w:sz w:val="24"/>
          <w:szCs w:val="24"/>
          <w:lang w:eastAsia="it-IT"/>
        </w:rPr>
        <w:t xml:space="preserve"> </w:t>
      </w:r>
      <w:r w:rsidRPr="00133A75">
        <w:rPr>
          <w:rFonts w:ascii="Calibri" w:eastAsia="Times New Roman" w:hAnsi="Calibri" w:cs="Calibri"/>
          <w:color w:val="000000"/>
          <w:sz w:val="24"/>
          <w:szCs w:val="24"/>
          <w:lang w:eastAsia="it-IT"/>
        </w:rPr>
        <w:t>che vi si rivolge e sul futuro utilizzo del materiale crioconservato per il ripristino della fertilità.</w:t>
      </w:r>
    </w:p>
    <w:p w14:paraId="47AE82F3" w14:textId="77777777" w:rsidR="00DE04E3" w:rsidRPr="00A611B3" w:rsidRDefault="00DE04E3" w:rsidP="00DE04E3">
      <w:pPr>
        <w:spacing w:after="120" w:line="240" w:lineRule="auto"/>
        <w:jc w:val="both"/>
        <w:rPr>
          <w:rFonts w:ascii="Calibri" w:eastAsia="Times New Roman" w:hAnsi="Calibri" w:cs="Calibri"/>
          <w:color w:val="000000"/>
          <w:sz w:val="24"/>
          <w:szCs w:val="24"/>
          <w:lang w:eastAsia="it-IT"/>
        </w:rPr>
      </w:pPr>
      <w:r w:rsidRPr="00A611B3">
        <w:rPr>
          <w:rFonts w:ascii="Calibri" w:eastAsia="Times New Roman" w:hAnsi="Calibri" w:cs="Calibri"/>
          <w:color w:val="000000"/>
          <w:sz w:val="24"/>
          <w:szCs w:val="24"/>
          <w:lang w:eastAsia="it-IT"/>
        </w:rPr>
        <w:t>Inoltre il sistema di raccolta fornirà informazioni utili:</w:t>
      </w:r>
    </w:p>
    <w:p w14:paraId="0CE28D7B" w14:textId="77777777" w:rsidR="00DE04E3" w:rsidRPr="00133A75" w:rsidRDefault="00DE04E3" w:rsidP="00DE04E3">
      <w:pPr>
        <w:pStyle w:val="Paragrafoelenco"/>
        <w:numPr>
          <w:ilvl w:val="0"/>
          <w:numId w:val="3"/>
        </w:numPr>
        <w:spacing w:after="0" w:line="240" w:lineRule="auto"/>
        <w:ind w:left="851" w:hanging="284"/>
        <w:jc w:val="both"/>
        <w:rPr>
          <w:rFonts w:ascii="Calibri" w:eastAsia="Times New Roman" w:hAnsi="Calibri" w:cs="Calibri"/>
          <w:color w:val="000000"/>
          <w:sz w:val="24"/>
          <w:szCs w:val="24"/>
          <w:lang w:eastAsia="it-IT"/>
        </w:rPr>
      </w:pPr>
      <w:r w:rsidRPr="00133A75">
        <w:rPr>
          <w:rFonts w:ascii="Calibri" w:eastAsia="Times New Roman" w:hAnsi="Calibri" w:cs="Calibri"/>
          <w:color w:val="000000"/>
          <w:sz w:val="24"/>
          <w:szCs w:val="24"/>
          <w:lang w:eastAsia="it-IT"/>
        </w:rPr>
        <w:t>per i pazienti, perché garantirà la mappa delle strutture esistenti che forniscono le</w:t>
      </w:r>
      <w:r>
        <w:rPr>
          <w:rFonts w:ascii="Calibri" w:eastAsia="Times New Roman" w:hAnsi="Calibri" w:cs="Calibri"/>
          <w:color w:val="000000"/>
          <w:sz w:val="24"/>
          <w:szCs w:val="24"/>
          <w:lang w:eastAsia="it-IT"/>
        </w:rPr>
        <w:t xml:space="preserve"> </w:t>
      </w:r>
      <w:r w:rsidRPr="00133A75">
        <w:rPr>
          <w:rFonts w:ascii="Calibri" w:eastAsia="Times New Roman" w:hAnsi="Calibri" w:cs="Calibri"/>
          <w:color w:val="000000"/>
          <w:sz w:val="24"/>
          <w:szCs w:val="24"/>
          <w:lang w:eastAsia="it-IT"/>
        </w:rPr>
        <w:t>prestazioni della preservazione della fertilità e la trasparenza riguardo all’offerta delle</w:t>
      </w:r>
      <w:r>
        <w:rPr>
          <w:rFonts w:ascii="Calibri" w:eastAsia="Times New Roman" w:hAnsi="Calibri" w:cs="Calibri"/>
          <w:color w:val="000000"/>
          <w:sz w:val="24"/>
          <w:szCs w:val="24"/>
          <w:lang w:eastAsia="it-IT"/>
        </w:rPr>
        <w:t xml:space="preserve"> </w:t>
      </w:r>
      <w:r w:rsidRPr="00133A75">
        <w:rPr>
          <w:rFonts w:ascii="Calibri" w:eastAsia="Times New Roman" w:hAnsi="Calibri" w:cs="Calibri"/>
          <w:color w:val="000000"/>
          <w:sz w:val="24"/>
          <w:szCs w:val="24"/>
          <w:lang w:eastAsia="it-IT"/>
        </w:rPr>
        <w:t>tecniche e ai risultati conseguiti.</w:t>
      </w:r>
    </w:p>
    <w:p w14:paraId="6A5A5C0E" w14:textId="77777777" w:rsidR="00DE04E3" w:rsidRPr="00133A75" w:rsidRDefault="00DE04E3" w:rsidP="00DE04E3">
      <w:pPr>
        <w:pStyle w:val="Paragrafoelenco"/>
        <w:numPr>
          <w:ilvl w:val="0"/>
          <w:numId w:val="3"/>
        </w:numPr>
        <w:spacing w:after="0" w:line="240" w:lineRule="auto"/>
        <w:ind w:left="851" w:hanging="284"/>
        <w:jc w:val="both"/>
        <w:rPr>
          <w:rFonts w:ascii="Calibri" w:eastAsia="Times New Roman" w:hAnsi="Calibri" w:cs="Calibri"/>
          <w:color w:val="000000"/>
          <w:sz w:val="24"/>
          <w:szCs w:val="24"/>
          <w:lang w:eastAsia="it-IT"/>
        </w:rPr>
      </w:pPr>
      <w:r w:rsidRPr="00133A75">
        <w:rPr>
          <w:rFonts w:ascii="Calibri" w:eastAsia="Times New Roman" w:hAnsi="Calibri" w:cs="Calibri"/>
          <w:color w:val="000000"/>
          <w:sz w:val="24"/>
          <w:szCs w:val="24"/>
          <w:lang w:eastAsia="it-IT"/>
        </w:rPr>
        <w:t>agli organi decisionali (Ministero della Salute, Regioni) in quanto fornisce informazioni sullo stato dell’arte in ogni regione e sul territorio nazionale aumentando il potere</w:t>
      </w:r>
      <w:r>
        <w:rPr>
          <w:rFonts w:ascii="Calibri" w:eastAsia="Times New Roman" w:hAnsi="Calibri" w:cs="Calibri"/>
          <w:color w:val="000000"/>
          <w:sz w:val="24"/>
          <w:szCs w:val="24"/>
          <w:lang w:eastAsia="it-IT"/>
        </w:rPr>
        <w:t xml:space="preserve"> </w:t>
      </w:r>
      <w:r w:rsidRPr="00133A75">
        <w:rPr>
          <w:rFonts w:ascii="Calibri" w:eastAsia="Times New Roman" w:hAnsi="Calibri" w:cs="Calibri"/>
          <w:color w:val="000000"/>
          <w:sz w:val="24"/>
          <w:szCs w:val="24"/>
          <w:lang w:eastAsia="it-IT"/>
        </w:rPr>
        <w:t>informativo e la produzione di conoscenza;</w:t>
      </w:r>
    </w:p>
    <w:p w14:paraId="278A8404" w14:textId="77777777" w:rsidR="00DE04E3" w:rsidRPr="00133A75" w:rsidRDefault="00DE04E3" w:rsidP="00DE04E3">
      <w:pPr>
        <w:pStyle w:val="Paragrafoelenco"/>
        <w:numPr>
          <w:ilvl w:val="0"/>
          <w:numId w:val="3"/>
        </w:numPr>
        <w:spacing w:after="0" w:line="240" w:lineRule="auto"/>
        <w:ind w:left="851" w:hanging="284"/>
        <w:jc w:val="both"/>
        <w:rPr>
          <w:rFonts w:ascii="Calibri" w:eastAsia="Times New Roman" w:hAnsi="Calibri" w:cs="Calibri"/>
          <w:color w:val="000000"/>
          <w:sz w:val="24"/>
          <w:szCs w:val="24"/>
          <w:lang w:eastAsia="it-IT"/>
        </w:rPr>
      </w:pPr>
      <w:r w:rsidRPr="00133A75">
        <w:rPr>
          <w:rFonts w:ascii="Calibri" w:eastAsia="Times New Roman" w:hAnsi="Calibri" w:cs="Calibri"/>
          <w:color w:val="000000"/>
          <w:sz w:val="24"/>
          <w:szCs w:val="24"/>
          <w:lang w:eastAsia="it-IT"/>
        </w:rPr>
        <w:t>a codesta Commissione degli elementi aggiuntivi per poter promuovere strategie adeguate di “empowerment” dei servizi esistenti e di ampliamento delle possibilità di cura</w:t>
      </w:r>
      <w:r>
        <w:rPr>
          <w:rFonts w:ascii="Calibri" w:eastAsia="Times New Roman" w:hAnsi="Calibri" w:cs="Calibri"/>
          <w:color w:val="000000"/>
          <w:sz w:val="24"/>
          <w:szCs w:val="24"/>
          <w:lang w:eastAsia="it-IT"/>
        </w:rPr>
        <w:t>.</w:t>
      </w:r>
    </w:p>
    <w:p w14:paraId="07F75BC2" w14:textId="77777777" w:rsidR="00DE04E3" w:rsidRDefault="00DE04E3" w:rsidP="00DE04E3">
      <w:pPr>
        <w:spacing w:after="0" w:line="240" w:lineRule="auto"/>
        <w:jc w:val="both"/>
        <w:rPr>
          <w:rFonts w:ascii="Calibri" w:eastAsia="Times New Roman" w:hAnsi="Calibri" w:cs="Calibri"/>
          <w:color w:val="000000"/>
          <w:sz w:val="24"/>
          <w:szCs w:val="24"/>
          <w:lang w:eastAsia="it-IT"/>
        </w:rPr>
      </w:pPr>
    </w:p>
    <w:p w14:paraId="3787CDD6" w14:textId="77777777" w:rsidR="00DE04E3" w:rsidRDefault="00DE04E3" w:rsidP="00DE04E3">
      <w:pPr>
        <w:spacing w:after="0" w:line="240" w:lineRule="auto"/>
        <w:jc w:val="both"/>
        <w:rPr>
          <w:rFonts w:ascii="Calibri" w:eastAsia="Times New Roman" w:hAnsi="Calibri" w:cs="Calibri"/>
          <w:color w:val="000000"/>
          <w:sz w:val="24"/>
          <w:szCs w:val="24"/>
          <w:lang w:eastAsia="it-IT"/>
        </w:rPr>
      </w:pPr>
      <w:r>
        <w:rPr>
          <w:rFonts w:ascii="Calibri" w:eastAsia="Times New Roman" w:hAnsi="Calibri" w:cs="Calibri"/>
          <w:color w:val="000000"/>
          <w:sz w:val="24"/>
          <w:szCs w:val="24"/>
          <w:lang w:eastAsia="it-IT"/>
        </w:rPr>
        <w:t>Solo implementando il sistema di raccolta dati del Registro Nazionale PMA come previsto dalla futura modifica del Decreto Legge 7 ottobre 2005 d’istituzione del Registro di PMA che prevede il passaggio da una la raccolta dati in modalità aggregata ad una modalità basata sul singolo ciclo di trattamento, ci permetterà sia di avere un “record linkage” tra i due sistemi di raccolta dati, ossia la possibilità di effettuare una connessione per confrontare record da diverse fonti di dati, sia ci darà la possibilità di valutare realmente la situazione dell’assistenza fornita a tutti i pazienti oncologici e migliorare la  loro futura salute riproduttiva.</w:t>
      </w:r>
    </w:p>
    <w:p w14:paraId="3E6F2A8F" w14:textId="3F739E6B" w:rsidR="00BC2348" w:rsidRDefault="00BC2348" w:rsidP="54D54523">
      <w:pPr>
        <w:rPr>
          <w:b/>
          <w:bCs/>
        </w:rPr>
      </w:pPr>
    </w:p>
    <w:p w14:paraId="1F82C6C0" w14:textId="77777777" w:rsidR="0064297D" w:rsidRDefault="0064297D" w:rsidP="00AA457D">
      <w:pPr>
        <w:spacing w:after="0" w:line="240" w:lineRule="auto"/>
      </w:pPr>
    </w:p>
    <w:p w14:paraId="145BDF10" w14:textId="3CEFC9AC" w:rsidR="00AA457D" w:rsidRDefault="00AA457D" w:rsidP="00AA457D">
      <w:pPr>
        <w:spacing w:after="0" w:line="240" w:lineRule="auto"/>
      </w:pPr>
      <w:r>
        <w:t>D</w:t>
      </w:r>
      <w:r w:rsidR="005037C6">
        <w:t>ott</w:t>
      </w:r>
      <w:r>
        <w:t>.ssa Giulia Scaravelli</w:t>
      </w:r>
    </w:p>
    <w:p w14:paraId="40B332BB" w14:textId="62831B9B" w:rsidR="0064297D" w:rsidRDefault="0064297D" w:rsidP="00AA457D">
      <w:pPr>
        <w:spacing w:after="0" w:line="240" w:lineRule="auto"/>
      </w:pPr>
      <w:r>
        <w:t>Dirigente di Ricerca</w:t>
      </w:r>
    </w:p>
    <w:p w14:paraId="5F230823" w14:textId="77777777" w:rsidR="00AA457D" w:rsidRDefault="00AA457D" w:rsidP="00AA457D">
      <w:pPr>
        <w:spacing w:after="0" w:line="240" w:lineRule="auto"/>
      </w:pPr>
      <w:r>
        <w:t>Responsabile Centro Operativo Adempimenti Legge 40/2004</w:t>
      </w:r>
    </w:p>
    <w:p w14:paraId="2B90AC83" w14:textId="0C1DA0B9" w:rsidR="00AA457D" w:rsidRDefault="00AA457D" w:rsidP="00AA457D">
      <w:pPr>
        <w:spacing w:after="0" w:line="240" w:lineRule="auto"/>
      </w:pPr>
      <w:r>
        <w:t>Registro Nazionale Procreazione Medicalmente Assistita</w:t>
      </w:r>
    </w:p>
    <w:p w14:paraId="1EB69488" w14:textId="0C146B84" w:rsidR="00AA457D" w:rsidRDefault="00AA457D" w:rsidP="00AA457D">
      <w:pPr>
        <w:spacing w:after="0" w:line="240" w:lineRule="auto"/>
      </w:pPr>
      <w:r>
        <w:t>CNaPPS</w:t>
      </w:r>
    </w:p>
    <w:p w14:paraId="5DAB6C7B" w14:textId="066D5E2E" w:rsidR="006E7F5E" w:rsidRDefault="005037C6" w:rsidP="00AA457D">
      <w:pPr>
        <w:spacing w:after="0" w:line="240" w:lineRule="auto"/>
      </w:pPr>
      <w:r>
        <w:rPr>
          <w:noProof/>
          <w:lang w:eastAsia="it-IT"/>
        </w:rPr>
        <w:drawing>
          <wp:anchor distT="0" distB="0" distL="114300" distR="114300" simplePos="0" relativeHeight="251658240" behindDoc="0" locked="0" layoutInCell="1" allowOverlap="1" wp14:anchorId="218FEE2B" wp14:editId="54BAEDB2">
            <wp:simplePos x="0" y="0"/>
            <wp:positionH relativeFrom="column">
              <wp:posOffset>116205</wp:posOffset>
            </wp:positionH>
            <wp:positionV relativeFrom="paragraph">
              <wp:posOffset>230505</wp:posOffset>
            </wp:positionV>
            <wp:extent cx="1571625" cy="583565"/>
            <wp:effectExtent l="0" t="0" r="9525" b="6985"/>
            <wp:wrapSquare wrapText="bothSides"/>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rma_giulia000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71625" cy="583565"/>
                    </a:xfrm>
                    <a:prstGeom prst="rect">
                      <a:avLst/>
                    </a:prstGeom>
                  </pic:spPr>
                </pic:pic>
              </a:graphicData>
            </a:graphic>
            <wp14:sizeRelH relativeFrom="margin">
              <wp14:pctWidth>0</wp14:pctWidth>
            </wp14:sizeRelH>
            <wp14:sizeRelV relativeFrom="margin">
              <wp14:pctHeight>0</wp14:pctHeight>
            </wp14:sizeRelV>
          </wp:anchor>
        </w:drawing>
      </w:r>
      <w:r w:rsidR="00AA457D">
        <w:t>Istituto Superiore di Sanità</w:t>
      </w:r>
    </w:p>
    <w:sectPr w:rsidR="006E7F5E" w:rsidSect="00AA457D">
      <w:headerReference w:type="default" r:id="rId14"/>
      <w:footerReference w:type="default" r:id="rId15"/>
      <w:pgSz w:w="11906" w:h="16838" w:code="9"/>
      <w:pgMar w:top="2835" w:right="851" w:bottom="1134" w:left="851" w:header="851"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3B1174" w14:textId="77777777" w:rsidR="0005060C" w:rsidRDefault="0005060C" w:rsidP="00A65A66">
      <w:pPr>
        <w:spacing w:after="0" w:line="240" w:lineRule="auto"/>
      </w:pPr>
      <w:r>
        <w:separator/>
      </w:r>
    </w:p>
  </w:endnote>
  <w:endnote w:type="continuationSeparator" w:id="0">
    <w:p w14:paraId="3C78A54B" w14:textId="77777777" w:rsidR="0005060C" w:rsidRDefault="0005060C" w:rsidP="00A65A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87E636" w14:textId="77777777" w:rsidR="006548E3" w:rsidRDefault="006548E3">
    <w:r>
      <w:rPr>
        <w:noProof/>
        <w:lang w:eastAsia="it-IT"/>
      </w:rPr>
      <mc:AlternateContent>
        <mc:Choice Requires="wps">
          <w:drawing>
            <wp:anchor distT="0" distB="0" distL="114300" distR="114300" simplePos="0" relativeHeight="251659264" behindDoc="0" locked="0" layoutInCell="1" allowOverlap="1" wp14:anchorId="3DD2C90A" wp14:editId="07777777">
              <wp:simplePos x="0" y="0"/>
              <wp:positionH relativeFrom="margin">
                <wp:align>right</wp:align>
              </wp:positionH>
              <wp:positionV relativeFrom="paragraph">
                <wp:posOffset>182880</wp:posOffset>
              </wp:positionV>
              <wp:extent cx="6457950" cy="0"/>
              <wp:effectExtent l="0" t="0" r="19050" b="19050"/>
              <wp:wrapNone/>
              <wp:docPr id="3" name="Connettore 1 3"/>
              <wp:cNvGraphicFramePr/>
              <a:graphic xmlns:a="http://schemas.openxmlformats.org/drawingml/2006/main">
                <a:graphicData uri="http://schemas.microsoft.com/office/word/2010/wordprocessingShape">
                  <wps:wsp>
                    <wps:cNvCnPr/>
                    <wps:spPr>
                      <a:xfrm>
                        <a:off x="0" y="0"/>
                        <a:ext cx="6457950" cy="0"/>
                      </a:xfrm>
                      <a:prstGeom prst="line">
                        <a:avLst/>
                      </a:prstGeom>
                      <a:ln w="12700">
                        <a:solidFill>
                          <a:srgbClr val="0067B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14="http://schemas.microsoft.com/office/word/2010/wordml"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1324E54">
            <v:line id="Connettore 1 3" style="position:absolute;z-index:251659264;visibility:visible;mso-wrap-style:square;mso-wrap-distance-left:9pt;mso-wrap-distance-top:0;mso-wrap-distance-right:9pt;mso-wrap-distance-bottom:0;mso-position-horizontal:right;mso-position-horizontal-relative:margin;mso-position-vertical:absolute;mso-position-vertical-relative:text" o:spid="_x0000_s1026" strokecolor="#0067b4" strokeweight="1pt" from="457.3pt,14.4pt" to="965.8pt,14.4pt" w14:anchorId="69889A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">
              <v:stroke joinstyle="miter"/>
              <w10:wrap anchorx="margin"/>
            </v:line>
          </w:pict>
        </mc:Fallback>
      </mc:AlternateConten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170" w:type="dxa"/>
      </w:tblCellMar>
      <w:tblLook w:val="04A0" w:firstRow="1" w:lastRow="0" w:firstColumn="1" w:lastColumn="0" w:noHBand="0" w:noVBand="1"/>
    </w:tblPr>
    <w:tblGrid>
      <w:gridCol w:w="3398"/>
      <w:gridCol w:w="3398"/>
      <w:gridCol w:w="3398"/>
    </w:tblGrid>
    <w:tr w:rsidR="008C1C3A" w:rsidRPr="008C1C3A" w14:paraId="10778B38" w14:textId="77777777" w:rsidTr="008C1C3A">
      <w:tc>
        <w:tcPr>
          <w:tcW w:w="3398" w:type="dxa"/>
        </w:tcPr>
        <w:p w14:paraId="27D38701" w14:textId="77777777" w:rsidR="008C1C3A" w:rsidRPr="008C1C3A" w:rsidRDefault="008C1C3A">
          <w:pPr>
            <w:pStyle w:val="Pidipagina"/>
            <w:rPr>
              <w:rFonts w:ascii="Arial" w:hAnsi="Arial" w:cs="Arial"/>
              <w:b/>
              <w:sz w:val="15"/>
              <w:szCs w:val="15"/>
            </w:rPr>
          </w:pPr>
          <w:r w:rsidRPr="008C1C3A">
            <w:rPr>
              <w:rFonts w:ascii="Arial" w:hAnsi="Arial" w:cs="Arial"/>
              <w:b/>
              <w:sz w:val="15"/>
              <w:szCs w:val="15"/>
            </w:rPr>
            <w:t>Istituto Superiore di Sanità</w:t>
          </w:r>
        </w:p>
        <w:p w14:paraId="7A7DCEAF" w14:textId="77777777" w:rsidR="006E7F5E" w:rsidRDefault="00634653">
          <w:pPr>
            <w:pStyle w:val="Pidipagina"/>
            <w:rPr>
              <w:rFonts w:ascii="Arial" w:hAnsi="Arial" w:cs="Arial"/>
              <w:sz w:val="15"/>
              <w:szCs w:val="15"/>
            </w:rPr>
          </w:pPr>
          <w:r>
            <w:rPr>
              <w:rFonts w:ascii="Arial" w:hAnsi="Arial" w:cs="Arial"/>
              <w:sz w:val="15"/>
              <w:szCs w:val="15"/>
            </w:rPr>
            <w:t>Centro Nazionale</w:t>
          </w:r>
          <w:r w:rsidR="006E7F5E">
            <w:rPr>
              <w:rFonts w:ascii="Arial" w:hAnsi="Arial" w:cs="Arial"/>
              <w:sz w:val="15"/>
              <w:szCs w:val="15"/>
            </w:rPr>
            <w:t xml:space="preserve"> /</w:t>
          </w:r>
        </w:p>
        <w:p w14:paraId="30B84FC5" w14:textId="77777777" w:rsidR="008C1C3A" w:rsidRDefault="008254DA" w:rsidP="008254DA">
          <w:pPr>
            <w:pStyle w:val="Pidipagina"/>
            <w:rPr>
              <w:rFonts w:ascii="Arial" w:hAnsi="Arial" w:cs="Arial"/>
              <w:sz w:val="15"/>
              <w:szCs w:val="15"/>
            </w:rPr>
          </w:pPr>
          <w:r>
            <w:rPr>
              <w:rFonts w:ascii="Arial" w:hAnsi="Arial" w:cs="Arial"/>
              <w:sz w:val="15"/>
              <w:szCs w:val="15"/>
            </w:rPr>
            <w:t>Prevenzione delle Malattie</w:t>
          </w:r>
          <w:r>
            <w:rPr>
              <w:rFonts w:ascii="Arial" w:hAnsi="Arial" w:cs="Arial"/>
              <w:sz w:val="15"/>
              <w:szCs w:val="15"/>
            </w:rPr>
            <w:br/>
            <w:t>e Promozione della Salute</w:t>
          </w:r>
        </w:p>
        <w:p w14:paraId="00D49BD2" w14:textId="2258B491" w:rsidR="00AA457D" w:rsidRPr="008C1C3A" w:rsidRDefault="00AA457D" w:rsidP="008254DA">
          <w:pPr>
            <w:pStyle w:val="Pidipagina"/>
            <w:rPr>
              <w:rFonts w:ascii="Arial" w:hAnsi="Arial" w:cs="Arial"/>
              <w:sz w:val="15"/>
              <w:szCs w:val="15"/>
            </w:rPr>
          </w:pPr>
          <w:r>
            <w:rPr>
              <w:rFonts w:ascii="Arial" w:hAnsi="Arial" w:cs="Arial"/>
              <w:sz w:val="15"/>
              <w:szCs w:val="15"/>
            </w:rPr>
            <w:t>Registro Nazionale PMA</w:t>
          </w:r>
        </w:p>
      </w:tc>
      <w:tc>
        <w:tcPr>
          <w:tcW w:w="3398" w:type="dxa"/>
        </w:tcPr>
        <w:p w14:paraId="15F10FDD" w14:textId="77777777" w:rsidR="008C1C3A" w:rsidRPr="008C1C3A" w:rsidRDefault="008C1C3A" w:rsidP="008C1C3A">
          <w:pPr>
            <w:pStyle w:val="iss-footer-par"/>
            <w:rPr>
              <w:rFonts w:ascii="Arial" w:eastAsiaTheme="minorHAnsi" w:hAnsi="Arial" w:cs="Arial"/>
              <w:sz w:val="15"/>
              <w:szCs w:val="15"/>
              <w:lang w:eastAsia="en-US"/>
            </w:rPr>
          </w:pPr>
          <w:r w:rsidRPr="008C1C3A">
            <w:rPr>
              <w:rFonts w:ascii="Arial" w:eastAsiaTheme="minorHAnsi" w:hAnsi="Arial" w:cs="Arial"/>
              <w:sz w:val="15"/>
              <w:szCs w:val="15"/>
              <w:lang w:eastAsia="en-US"/>
            </w:rPr>
            <w:t>Viale Regina Elena 299, 00161 – Roma (I)</w:t>
          </w:r>
          <w:r w:rsidRPr="008C1C3A">
            <w:rPr>
              <w:rFonts w:ascii="Arial" w:eastAsiaTheme="minorHAnsi" w:hAnsi="Arial" w:cs="Arial"/>
              <w:sz w:val="15"/>
              <w:szCs w:val="15"/>
              <w:lang w:eastAsia="en-US"/>
            </w:rPr>
            <w:br/>
          </w:r>
          <w:r w:rsidRPr="008C1C3A">
            <w:rPr>
              <w:rFonts w:ascii="Arial" w:eastAsiaTheme="minorHAnsi" w:hAnsi="Arial" w:cs="Arial"/>
              <w:bCs/>
              <w:sz w:val="15"/>
              <w:szCs w:val="15"/>
              <w:lang w:eastAsia="en-US"/>
            </w:rPr>
            <w:t>Partita I.V.A.</w:t>
          </w:r>
          <w:r w:rsidRPr="008C1C3A">
            <w:rPr>
              <w:rFonts w:ascii="Arial" w:eastAsiaTheme="minorHAnsi" w:hAnsi="Arial" w:cs="Arial"/>
              <w:sz w:val="15"/>
              <w:szCs w:val="15"/>
              <w:lang w:eastAsia="en-US"/>
            </w:rPr>
            <w:t xml:space="preserve"> 03657731000</w:t>
          </w:r>
          <w:r w:rsidRPr="008C1C3A">
            <w:rPr>
              <w:rFonts w:ascii="Arial" w:eastAsiaTheme="minorHAnsi" w:hAnsi="Arial" w:cs="Arial"/>
              <w:sz w:val="15"/>
              <w:szCs w:val="15"/>
              <w:lang w:eastAsia="en-US"/>
            </w:rPr>
            <w:br/>
          </w:r>
          <w:r w:rsidRPr="008C1C3A">
            <w:rPr>
              <w:rFonts w:ascii="Arial" w:eastAsiaTheme="minorHAnsi" w:hAnsi="Arial" w:cs="Arial"/>
              <w:bCs/>
              <w:sz w:val="15"/>
              <w:szCs w:val="15"/>
              <w:lang w:eastAsia="en-US"/>
            </w:rPr>
            <w:t>C.F.</w:t>
          </w:r>
          <w:r w:rsidRPr="008C1C3A">
            <w:rPr>
              <w:rFonts w:ascii="Arial" w:eastAsiaTheme="minorHAnsi" w:hAnsi="Arial" w:cs="Arial"/>
              <w:sz w:val="15"/>
              <w:szCs w:val="15"/>
              <w:lang w:eastAsia="en-US"/>
            </w:rPr>
            <w:t xml:space="preserve"> 80211730587</w:t>
          </w:r>
        </w:p>
      </w:tc>
      <w:tc>
        <w:tcPr>
          <w:tcW w:w="3398" w:type="dxa"/>
        </w:tcPr>
        <w:p w14:paraId="5E3AE898" w14:textId="52F82781" w:rsidR="008C1C3A" w:rsidRPr="008C1C3A" w:rsidRDefault="008C1C3A">
          <w:pPr>
            <w:pStyle w:val="Pidipagina"/>
            <w:rPr>
              <w:rFonts w:ascii="Arial" w:hAnsi="Arial" w:cs="Arial"/>
              <w:sz w:val="15"/>
              <w:szCs w:val="15"/>
            </w:rPr>
          </w:pPr>
          <w:r w:rsidRPr="008C1C3A">
            <w:rPr>
              <w:rFonts w:ascii="Arial" w:hAnsi="Arial" w:cs="Arial"/>
              <w:bCs/>
              <w:sz w:val="15"/>
              <w:szCs w:val="15"/>
            </w:rPr>
            <w:t xml:space="preserve">Telefono: </w:t>
          </w:r>
          <w:r w:rsidRPr="008C1C3A">
            <w:rPr>
              <w:rFonts w:ascii="Arial" w:hAnsi="Arial" w:cs="Arial"/>
              <w:sz w:val="15"/>
              <w:szCs w:val="15"/>
            </w:rPr>
            <w:t xml:space="preserve">06 4990 </w:t>
          </w:r>
          <w:r w:rsidR="00AA457D">
            <w:rPr>
              <w:rFonts w:ascii="Arial" w:hAnsi="Arial" w:cs="Arial"/>
              <w:sz w:val="15"/>
              <w:szCs w:val="15"/>
            </w:rPr>
            <w:t>4050/4313</w:t>
          </w:r>
          <w:r w:rsidRPr="008C1C3A">
            <w:rPr>
              <w:rFonts w:ascii="Arial" w:hAnsi="Arial" w:cs="Arial"/>
              <w:sz w:val="15"/>
              <w:szCs w:val="15"/>
            </w:rPr>
            <w:br/>
          </w:r>
          <w:r w:rsidRPr="008C1C3A">
            <w:rPr>
              <w:rFonts w:ascii="Arial" w:hAnsi="Arial" w:cs="Arial"/>
              <w:bCs/>
              <w:sz w:val="15"/>
              <w:szCs w:val="15"/>
            </w:rPr>
            <w:t>PEC:</w:t>
          </w:r>
          <w:r w:rsidRPr="008C1C3A">
            <w:rPr>
              <w:rFonts w:ascii="Arial" w:hAnsi="Arial" w:cs="Arial"/>
              <w:sz w:val="15"/>
              <w:szCs w:val="15"/>
            </w:rPr>
            <w:t xml:space="preserve"> </w:t>
          </w:r>
          <w:hyperlink r:id="rId1" w:history="1">
            <w:r w:rsidRPr="008C1C3A">
              <w:rPr>
                <w:rFonts w:ascii="Arial" w:hAnsi="Arial" w:cs="Arial"/>
                <w:sz w:val="15"/>
                <w:szCs w:val="15"/>
              </w:rPr>
              <w:t>protocollo.centrale@pec.iss.it</w:t>
            </w:r>
          </w:hyperlink>
          <w:r w:rsidRPr="008C1C3A">
            <w:rPr>
              <w:rFonts w:ascii="Arial" w:hAnsi="Arial" w:cs="Arial"/>
              <w:sz w:val="15"/>
              <w:szCs w:val="15"/>
            </w:rPr>
            <w:br/>
          </w:r>
          <w:r w:rsidRPr="008C1C3A">
            <w:rPr>
              <w:rFonts w:ascii="Arial" w:hAnsi="Arial" w:cs="Arial"/>
              <w:bCs/>
              <w:sz w:val="15"/>
              <w:szCs w:val="15"/>
            </w:rPr>
            <w:t>Mail:</w:t>
          </w:r>
          <w:r w:rsidRPr="008C1C3A">
            <w:rPr>
              <w:rFonts w:ascii="Arial" w:hAnsi="Arial" w:cs="Arial"/>
              <w:sz w:val="15"/>
              <w:szCs w:val="15"/>
            </w:rPr>
            <w:t xml:space="preserve"> </w:t>
          </w:r>
          <w:hyperlink r:id="rId2" w:history="1">
            <w:r w:rsidR="00AA457D" w:rsidRPr="00BC77B2">
              <w:rPr>
                <w:rStyle w:val="Collegamentoipertestuale"/>
                <w:rFonts w:ascii="Arial" w:hAnsi="Arial" w:cs="Arial"/>
                <w:sz w:val="15"/>
                <w:szCs w:val="15"/>
              </w:rPr>
              <w:t>giulia.scaravelli@iss.it</w:t>
            </w:r>
          </w:hyperlink>
        </w:p>
      </w:tc>
    </w:tr>
  </w:tbl>
  <w:p w14:paraId="6A05A809" w14:textId="77777777" w:rsidR="008C1C3A" w:rsidRPr="008C1C3A" w:rsidRDefault="008C1C3A" w:rsidP="00AA457D">
    <w:pPr>
      <w:pStyle w:val="Pidipagina"/>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B17152" w14:textId="77777777" w:rsidR="0005060C" w:rsidRDefault="0005060C" w:rsidP="00A65A66">
      <w:pPr>
        <w:spacing w:after="0" w:line="240" w:lineRule="auto"/>
      </w:pPr>
      <w:r>
        <w:separator/>
      </w:r>
    </w:p>
  </w:footnote>
  <w:footnote w:type="continuationSeparator" w:id="0">
    <w:p w14:paraId="00098FBE" w14:textId="77777777" w:rsidR="0005060C" w:rsidRDefault="0005060C" w:rsidP="00A65A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AA4C2" w14:textId="68FE84C7" w:rsidR="00044BF5" w:rsidRDefault="00044BF5">
    <w:pPr>
      <w:pStyle w:val="Intestazione"/>
      <w:rPr>
        <w:noProof/>
        <w:lang w:eastAsia="it-IT"/>
      </w:rPr>
    </w:pPr>
    <w:r>
      <w:rPr>
        <w:noProof/>
        <w:lang w:eastAsia="it-IT"/>
      </w:rPr>
      <w:drawing>
        <wp:anchor distT="0" distB="0" distL="114300" distR="114300" simplePos="0" relativeHeight="251661312" behindDoc="0" locked="0" layoutInCell="1" allowOverlap="1" wp14:anchorId="2E606E9D" wp14:editId="3195D108">
          <wp:simplePos x="0" y="0"/>
          <wp:positionH relativeFrom="column">
            <wp:posOffset>4802359</wp:posOffset>
          </wp:positionH>
          <wp:positionV relativeFrom="paragraph">
            <wp:posOffset>31115</wp:posOffset>
          </wp:positionV>
          <wp:extent cx="1599063" cy="771525"/>
          <wp:effectExtent l="0" t="0" r="1270" b="0"/>
          <wp:wrapNone/>
          <wp:docPr id="2" name="Immagine 2" descr="cid:image001.jpg@01D74676.C8038C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74676.C8038C80"/>
                  <pic:cNvPicPr>
                    <a:picLocks noChangeAspect="1" noChangeArrowheads="1"/>
                  </pic:cNvPicPr>
                </pic:nvPicPr>
                <pic:blipFill rotWithShape="1">
                  <a:blip r:embed="rId1">
                    <a:extLst>
                      <a:ext uri="{28A0092B-C50C-407E-A947-70E740481C1C}">
                        <a14:useLocalDpi xmlns:a14="http://schemas.microsoft.com/office/drawing/2010/main" val="0"/>
                      </a:ext>
                    </a:extLst>
                  </a:blip>
                  <a:srcRect r="75000"/>
                  <a:stretch/>
                </pic:blipFill>
                <pic:spPr bwMode="auto">
                  <a:xfrm>
                    <a:off x="0" y="0"/>
                    <a:ext cx="1607672" cy="7756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300" distR="114300" simplePos="0" relativeHeight="251660288" behindDoc="0" locked="0" layoutInCell="1" allowOverlap="1" wp14:anchorId="01590C6B" wp14:editId="075126D2">
          <wp:simplePos x="0" y="0"/>
          <wp:positionH relativeFrom="column">
            <wp:posOffset>-130810</wp:posOffset>
          </wp:positionH>
          <wp:positionV relativeFrom="paragraph">
            <wp:posOffset>-83067</wp:posOffset>
          </wp:positionV>
          <wp:extent cx="3248527" cy="762000"/>
          <wp:effectExtent l="0" t="0" r="9525"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3248527" cy="762000"/>
                  </a:xfrm>
                  <a:prstGeom prst="rect">
                    <a:avLst/>
                  </a:prstGeom>
                </pic:spPr>
              </pic:pic>
            </a:graphicData>
          </a:graphic>
          <wp14:sizeRelH relativeFrom="margin">
            <wp14:pctWidth>0</wp14:pctWidth>
          </wp14:sizeRelH>
          <wp14:sizeRelV relativeFrom="margin">
            <wp14:pctHeight>0</wp14:pctHeight>
          </wp14:sizeRelV>
        </wp:anchor>
      </w:drawing>
    </w:r>
  </w:p>
  <w:p w14:paraId="5A39BBE3" w14:textId="1063AC0D" w:rsidR="00A65A66" w:rsidRDefault="00A65A66">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A52E52"/>
    <w:multiLevelType w:val="hybridMultilevel"/>
    <w:tmpl w:val="613A75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19724C6"/>
    <w:multiLevelType w:val="hybridMultilevel"/>
    <w:tmpl w:val="DB4A5A5E"/>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 w15:restartNumberingAfterBreak="0">
    <w:nsid w:val="3C676DC8"/>
    <w:multiLevelType w:val="hybridMultilevel"/>
    <w:tmpl w:val="D45438C6"/>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3" w15:restartNumberingAfterBreak="0">
    <w:nsid w:val="66C3187E"/>
    <w:multiLevelType w:val="hybridMultilevel"/>
    <w:tmpl w:val="954C0A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66E40546"/>
    <w:multiLevelType w:val="hybridMultilevel"/>
    <w:tmpl w:val="E514D902"/>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isplayBackgroundShape/>
  <w:defaultTabStop w:val="708"/>
  <w:hyphenationZone w:val="28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A66"/>
    <w:rsid w:val="00014D46"/>
    <w:rsid w:val="00044BF5"/>
    <w:rsid w:val="0005060C"/>
    <w:rsid w:val="00085E7E"/>
    <w:rsid w:val="000C55D5"/>
    <w:rsid w:val="00215FF7"/>
    <w:rsid w:val="00280AE9"/>
    <w:rsid w:val="003C61E3"/>
    <w:rsid w:val="005037C6"/>
    <w:rsid w:val="00560323"/>
    <w:rsid w:val="00612072"/>
    <w:rsid w:val="00634653"/>
    <w:rsid w:val="0064297D"/>
    <w:rsid w:val="006548E3"/>
    <w:rsid w:val="006E7F5E"/>
    <w:rsid w:val="00700D06"/>
    <w:rsid w:val="007B1D3A"/>
    <w:rsid w:val="00817079"/>
    <w:rsid w:val="008254DA"/>
    <w:rsid w:val="008C1C3A"/>
    <w:rsid w:val="008E3A7D"/>
    <w:rsid w:val="00975202"/>
    <w:rsid w:val="009A7D40"/>
    <w:rsid w:val="009C1575"/>
    <w:rsid w:val="00A65A66"/>
    <w:rsid w:val="00AA457D"/>
    <w:rsid w:val="00B35C90"/>
    <w:rsid w:val="00BC2348"/>
    <w:rsid w:val="00BE1E60"/>
    <w:rsid w:val="00C23454"/>
    <w:rsid w:val="00C4204D"/>
    <w:rsid w:val="00CB182A"/>
    <w:rsid w:val="00D138A7"/>
    <w:rsid w:val="00D2638A"/>
    <w:rsid w:val="00DE04E3"/>
    <w:rsid w:val="00E26D8C"/>
    <w:rsid w:val="00F25891"/>
    <w:rsid w:val="00F52C02"/>
    <w:rsid w:val="00FA4F0D"/>
    <w:rsid w:val="1D534816"/>
    <w:rsid w:val="54D54523"/>
    <w:rsid w:val="79CF759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6CE994F"/>
  <w15:chartTrackingRefBased/>
  <w15:docId w15:val="{3A984165-FE66-49A8-812C-4301D3AB1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DE04E3"/>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65A6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65A66"/>
  </w:style>
  <w:style w:type="paragraph" w:styleId="Pidipagina">
    <w:name w:val="footer"/>
    <w:basedOn w:val="Normale"/>
    <w:link w:val="PidipaginaCarattere"/>
    <w:uiPriority w:val="99"/>
    <w:unhideWhenUsed/>
    <w:rsid w:val="00A65A6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65A66"/>
  </w:style>
  <w:style w:type="table" w:styleId="Grigliatabella">
    <w:name w:val="Table Grid"/>
    <w:basedOn w:val="Tabellanormale"/>
    <w:uiPriority w:val="39"/>
    <w:rsid w:val="008C1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ss-footer-par">
    <w:name w:val="iss-footer-par"/>
    <w:basedOn w:val="Normale"/>
    <w:rsid w:val="008C1C3A"/>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8C1C3A"/>
    <w:rPr>
      <w:b/>
      <w:bCs/>
    </w:rPr>
  </w:style>
  <w:style w:type="character" w:styleId="Collegamentoipertestuale">
    <w:name w:val="Hyperlink"/>
    <w:basedOn w:val="Carpredefinitoparagrafo"/>
    <w:uiPriority w:val="99"/>
    <w:unhideWhenUsed/>
    <w:rsid w:val="008C1C3A"/>
    <w:rPr>
      <w:color w:val="0000FF"/>
      <w:u w:val="single"/>
    </w:rPr>
  </w:style>
  <w:style w:type="paragraph" w:styleId="Paragrafoelenco">
    <w:name w:val="List Paragraph"/>
    <w:basedOn w:val="Normale"/>
    <w:uiPriority w:val="34"/>
    <w:qFormat/>
    <w:rsid w:val="00DE04E3"/>
    <w:pPr>
      <w:ind w:left="720"/>
      <w:contextualSpacing/>
    </w:pPr>
  </w:style>
  <w:style w:type="character" w:customStyle="1" w:styleId="UnresolvedMention">
    <w:name w:val="Unresolved Mention"/>
    <w:basedOn w:val="Carpredefinitoparagrafo"/>
    <w:uiPriority w:val="99"/>
    <w:semiHidden/>
    <w:unhideWhenUsed/>
    <w:rsid w:val="00AA45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3263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giulia.scaravelli@iss.it" TargetMode="External"/><Relationship Id="rId1" Type="http://schemas.openxmlformats.org/officeDocument/2006/relationships/hyperlink" Target="mailto:protocollo.centrale@pec.iss.i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5387F0-A850-4CB3-A94F-1FDE4E42C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1377</Words>
  <Characters>7851</Characters>
  <Application>Microsoft Office Word</Application>
  <DocSecurity>4</DocSecurity>
  <Lines>65</Lines>
  <Paragraphs>18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ISS</dc:creator>
  <cp:keywords/>
  <dc:description/>
  <cp:lastModifiedBy>Elena Toccaceli</cp:lastModifiedBy>
  <cp:revision>2</cp:revision>
  <cp:lastPrinted>2021-01-08T15:41:00Z</cp:lastPrinted>
  <dcterms:created xsi:type="dcterms:W3CDTF">2025-04-28T10:47:00Z</dcterms:created>
  <dcterms:modified xsi:type="dcterms:W3CDTF">2025-04-28T10:47:00Z</dcterms:modified>
</cp:coreProperties>
</file>