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EB0" w:rsidRPr="00447BD0" w:rsidRDefault="00842640" w:rsidP="00447BD0">
      <w:pPr>
        <w:jc w:val="both"/>
        <w:rPr>
          <w:rFonts w:ascii="Times New Roman" w:hAnsi="Times New Roman" w:cs="Times New Roman"/>
          <w:sz w:val="24"/>
          <w:szCs w:val="24"/>
        </w:rPr>
      </w:pPr>
      <w:r w:rsidRPr="00447BD0">
        <w:rPr>
          <w:rFonts w:ascii="Times New Roman" w:hAnsi="Times New Roman" w:cs="Times New Roman"/>
          <w:sz w:val="24"/>
          <w:szCs w:val="24"/>
        </w:rPr>
        <w:t>MEMORIA CAMERA DEI DEPUTATI – XI COMMISSIONE LAVORO PUBBLICO E PRIVATO</w:t>
      </w:r>
    </w:p>
    <w:p w:rsidR="00842640" w:rsidRPr="00447BD0" w:rsidRDefault="00842640" w:rsidP="00447BD0">
      <w:pPr>
        <w:jc w:val="both"/>
        <w:rPr>
          <w:rFonts w:ascii="Times New Roman" w:hAnsi="Times New Roman" w:cs="Times New Roman"/>
          <w:sz w:val="24"/>
          <w:szCs w:val="24"/>
        </w:rPr>
      </w:pPr>
      <w:r w:rsidRPr="00447BD0">
        <w:rPr>
          <w:rFonts w:ascii="Times New Roman" w:hAnsi="Times New Roman" w:cs="Times New Roman"/>
          <w:sz w:val="24"/>
          <w:szCs w:val="24"/>
        </w:rPr>
        <w:t>13 MAGGIO 2026</w:t>
      </w:r>
    </w:p>
    <w:p w:rsidR="00842640" w:rsidRPr="00447BD0" w:rsidRDefault="00842640" w:rsidP="00447BD0">
      <w:pPr>
        <w:jc w:val="both"/>
        <w:rPr>
          <w:rFonts w:ascii="Times New Roman" w:hAnsi="Times New Roman" w:cs="Times New Roman"/>
          <w:sz w:val="24"/>
          <w:szCs w:val="24"/>
        </w:rPr>
      </w:pPr>
      <w:r w:rsidRPr="00447BD0">
        <w:rPr>
          <w:rFonts w:ascii="Times New Roman" w:hAnsi="Times New Roman" w:cs="Times New Roman"/>
          <w:sz w:val="24"/>
          <w:szCs w:val="24"/>
        </w:rPr>
        <w:t>Prof. Marco Barbieri (ordinario di Diritto del Lavoro nell’Università degli Studi di Bari “Aldo Moro”)</w:t>
      </w:r>
    </w:p>
    <w:p w:rsidR="00447BD0" w:rsidRDefault="00447BD0" w:rsidP="00447BD0">
      <w:pPr>
        <w:pStyle w:val="Paragrafoelenco"/>
        <w:numPr>
          <w:ilvl w:val="0"/>
          <w:numId w:val="1"/>
        </w:numPr>
        <w:jc w:val="both"/>
        <w:rPr>
          <w:rFonts w:ascii="Times New Roman" w:hAnsi="Times New Roman" w:cs="Times New Roman"/>
          <w:sz w:val="24"/>
          <w:szCs w:val="24"/>
        </w:rPr>
      </w:pPr>
      <w:r w:rsidRPr="00447BD0">
        <w:rPr>
          <w:rFonts w:ascii="Times New Roman" w:hAnsi="Times New Roman" w:cs="Times New Roman"/>
          <w:sz w:val="24"/>
          <w:szCs w:val="24"/>
        </w:rPr>
        <w:t xml:space="preserve">Il decreto-legge 30 aprile 2026, n. 62 ha tre nuclei principali: </w:t>
      </w:r>
    </w:p>
    <w:p w:rsidR="00447BD0" w:rsidRDefault="00447BD0" w:rsidP="00447BD0">
      <w:pPr>
        <w:ind w:left="360"/>
        <w:jc w:val="both"/>
        <w:rPr>
          <w:rFonts w:ascii="Times New Roman" w:hAnsi="Times New Roman" w:cs="Times New Roman"/>
          <w:sz w:val="24"/>
          <w:szCs w:val="24"/>
        </w:rPr>
      </w:pPr>
      <w:r w:rsidRPr="00447BD0">
        <w:rPr>
          <w:rFonts w:ascii="Times New Roman" w:hAnsi="Times New Roman" w:cs="Times New Roman"/>
          <w:sz w:val="24"/>
          <w:szCs w:val="24"/>
        </w:rPr>
        <w:t>- l’incentivazione dell’occupazione (artt. 1-6) attraverso una serie differenziata di sgravi contributivi destinati a gruppi di soggetti (donne, giovani, lavoratori meridionali, personale già dipendente con contratto a tempo determinato</w:t>
      </w:r>
      <w:r>
        <w:rPr>
          <w:rFonts w:ascii="Times New Roman" w:hAnsi="Times New Roman" w:cs="Times New Roman"/>
          <w:sz w:val="24"/>
          <w:szCs w:val="24"/>
        </w:rPr>
        <w:t>);</w:t>
      </w:r>
    </w:p>
    <w:p w:rsidR="00447BD0" w:rsidRDefault="00447BD0" w:rsidP="00447BD0">
      <w:pPr>
        <w:ind w:left="360"/>
        <w:jc w:val="both"/>
        <w:rPr>
          <w:rFonts w:ascii="Times New Roman" w:hAnsi="Times New Roman" w:cs="Times New Roman"/>
          <w:sz w:val="24"/>
          <w:szCs w:val="24"/>
        </w:rPr>
      </w:pPr>
      <w:r>
        <w:rPr>
          <w:rFonts w:ascii="Times New Roman" w:hAnsi="Times New Roman" w:cs="Times New Roman"/>
          <w:sz w:val="24"/>
          <w:szCs w:val="24"/>
        </w:rPr>
        <w:t>- la definizione del c.d. “salario giusto”;</w:t>
      </w:r>
    </w:p>
    <w:p w:rsidR="00447BD0" w:rsidRDefault="00447BD0" w:rsidP="00447BD0">
      <w:pPr>
        <w:ind w:left="360"/>
        <w:jc w:val="both"/>
        <w:rPr>
          <w:rFonts w:ascii="Times New Roman" w:hAnsi="Times New Roman" w:cs="Times New Roman"/>
          <w:sz w:val="24"/>
          <w:szCs w:val="24"/>
        </w:rPr>
      </w:pPr>
      <w:r>
        <w:rPr>
          <w:rFonts w:ascii="Times New Roman" w:hAnsi="Times New Roman" w:cs="Times New Roman"/>
          <w:sz w:val="24"/>
          <w:szCs w:val="24"/>
        </w:rPr>
        <w:t xml:space="preserve">- l’attuazione della Direttiva UE 2024/2831 sul </w:t>
      </w:r>
      <w:r w:rsidR="001E1460">
        <w:rPr>
          <w:rFonts w:ascii="Times New Roman" w:hAnsi="Times New Roman" w:cs="Times New Roman"/>
          <w:sz w:val="24"/>
          <w:szCs w:val="24"/>
        </w:rPr>
        <w:t>miglioramento delle condizioni n</w:t>
      </w:r>
      <w:r>
        <w:rPr>
          <w:rFonts w:ascii="Times New Roman" w:hAnsi="Times New Roman" w:cs="Times New Roman"/>
          <w:sz w:val="24"/>
          <w:szCs w:val="24"/>
        </w:rPr>
        <w:t>el lavoro</w:t>
      </w:r>
      <w:r w:rsidR="001E1460">
        <w:rPr>
          <w:rFonts w:ascii="Times New Roman" w:hAnsi="Times New Roman" w:cs="Times New Roman"/>
          <w:sz w:val="24"/>
          <w:szCs w:val="24"/>
        </w:rPr>
        <w:t xml:space="preserve"> mediante piattaforme digitali, realizzata attraverso misure di prevenzione e di contrasto al c.d. caporalato digitale.</w:t>
      </w:r>
    </w:p>
    <w:p w:rsidR="001E1460" w:rsidRDefault="001E1460" w:rsidP="00820CBF">
      <w:pPr>
        <w:ind w:firstLine="360"/>
        <w:jc w:val="both"/>
        <w:rPr>
          <w:rFonts w:ascii="Times New Roman" w:hAnsi="Times New Roman" w:cs="Times New Roman"/>
          <w:sz w:val="24"/>
          <w:szCs w:val="24"/>
        </w:rPr>
      </w:pPr>
      <w:r>
        <w:rPr>
          <w:rFonts w:ascii="Times New Roman" w:hAnsi="Times New Roman" w:cs="Times New Roman"/>
          <w:sz w:val="24"/>
          <w:szCs w:val="24"/>
        </w:rPr>
        <w:t>Per ragioni di tempo, questa memoria si concentrerà essenzialmente sul secondo</w:t>
      </w:r>
      <w:r w:rsidR="004311DD">
        <w:rPr>
          <w:rFonts w:ascii="Times New Roman" w:hAnsi="Times New Roman" w:cs="Times New Roman"/>
          <w:sz w:val="24"/>
          <w:szCs w:val="24"/>
        </w:rPr>
        <w:t>, che si caratterizza per la sua novità</w:t>
      </w:r>
      <w:r>
        <w:rPr>
          <w:rFonts w:ascii="Times New Roman" w:hAnsi="Times New Roman" w:cs="Times New Roman"/>
          <w:sz w:val="24"/>
          <w:szCs w:val="24"/>
        </w:rPr>
        <w:t>.</w:t>
      </w:r>
    </w:p>
    <w:p w:rsidR="001E1460" w:rsidRPr="00820CBF" w:rsidRDefault="004311DD" w:rsidP="00820CBF">
      <w:pPr>
        <w:pStyle w:val="Paragrafoelenco"/>
        <w:numPr>
          <w:ilvl w:val="0"/>
          <w:numId w:val="1"/>
        </w:numPr>
        <w:ind w:left="0" w:firstLine="360"/>
        <w:jc w:val="both"/>
        <w:rPr>
          <w:rFonts w:ascii="Times New Roman" w:hAnsi="Times New Roman" w:cs="Times New Roman"/>
          <w:sz w:val="24"/>
          <w:szCs w:val="24"/>
        </w:rPr>
      </w:pPr>
      <w:r w:rsidRPr="00820CBF">
        <w:rPr>
          <w:rFonts w:ascii="Times New Roman" w:hAnsi="Times New Roman" w:cs="Times New Roman"/>
          <w:sz w:val="24"/>
          <w:szCs w:val="24"/>
        </w:rPr>
        <w:t xml:space="preserve">Per quanto riguarda gli sgravi contributivi, che incontrano i limiti stabiliti nel diritto dell’Unione Europea per gli aiuti di Stato alle imprese, si tratta di un indirizzo legislativo assai risalente nel tempo, nel quale è sempre discussa – e anzi foriera di contenzioso tra INPS e imprese anche in sede giurisdizionale – la sussistenza di un effettivo incremento occupazionale, in relazione al quale soltanto l’incentivazione si legittima e che secondo la giurisprudenza di legittimità </w:t>
      </w:r>
      <w:r w:rsidRPr="00820CBF">
        <w:rPr>
          <w:rFonts w:ascii="Times New Roman" w:hAnsi="Times New Roman" w:cs="Times New Roman"/>
          <w:sz w:val="24"/>
          <w:szCs w:val="24"/>
        </w:rPr>
        <w:t>l datore di lavoro che si attribuisce il beneficio è tenuto a provare i fatti costitutivi della pretesa, e dunque la sussistenza delle condizioni che legittimano lo sgravio contributivo (Cass. n. 28616/2021).</w:t>
      </w:r>
    </w:p>
    <w:p w:rsidR="001E1460" w:rsidRDefault="00820CBF" w:rsidP="0082044F">
      <w:pPr>
        <w:ind w:firstLine="360"/>
        <w:jc w:val="both"/>
        <w:rPr>
          <w:rFonts w:ascii="Times New Roman" w:hAnsi="Times New Roman" w:cs="Times New Roman"/>
          <w:sz w:val="24"/>
          <w:szCs w:val="24"/>
        </w:rPr>
      </w:pPr>
      <w:r w:rsidRPr="0082044F">
        <w:rPr>
          <w:rFonts w:ascii="Times New Roman" w:hAnsi="Times New Roman" w:cs="Times New Roman"/>
          <w:sz w:val="24"/>
          <w:szCs w:val="24"/>
        </w:rPr>
        <w:t xml:space="preserve">Nel dibattito scientifico degli economisti si è già osservato che “una decontribuzione </w:t>
      </w:r>
      <w:r w:rsidRPr="0082044F">
        <w:rPr>
          <w:rFonts w:ascii="Times New Roman" w:hAnsi="Times New Roman" w:cs="Times New Roman"/>
          <w:sz w:val="24"/>
          <w:szCs w:val="24"/>
        </w:rPr>
        <w:t>concentrata sulla parte datoriale non genera solitamente effetti retributivi sui beneficiari</w:t>
      </w:r>
      <w:r w:rsidRPr="0082044F">
        <w:rPr>
          <w:rFonts w:ascii="Times New Roman" w:hAnsi="Times New Roman" w:cs="Times New Roman"/>
          <w:sz w:val="24"/>
          <w:szCs w:val="24"/>
        </w:rPr>
        <w:t>”</w:t>
      </w:r>
      <w:r w:rsidR="0082044F" w:rsidRPr="0082044F">
        <w:rPr>
          <w:rFonts w:ascii="Times New Roman" w:hAnsi="Times New Roman" w:cs="Times New Roman"/>
          <w:sz w:val="24"/>
          <w:szCs w:val="24"/>
        </w:rPr>
        <w:t xml:space="preserve"> (Di Porto e N</w:t>
      </w:r>
      <w:r w:rsidRPr="0082044F">
        <w:rPr>
          <w:rFonts w:ascii="Times New Roman" w:hAnsi="Times New Roman" w:cs="Times New Roman"/>
          <w:sz w:val="24"/>
          <w:szCs w:val="24"/>
        </w:rPr>
        <w:t xml:space="preserve">aticchioni, </w:t>
      </w:r>
      <w:r w:rsidR="0082044F" w:rsidRPr="0082044F">
        <w:rPr>
          <w:rFonts w:ascii="Times New Roman" w:hAnsi="Times New Roman" w:cs="Times New Roman"/>
          <w:i/>
          <w:sz w:val="24"/>
          <w:szCs w:val="24"/>
        </w:rPr>
        <w:t>Gli incentivi per le imprese aumentano occupazione e retribuzioni?</w:t>
      </w:r>
      <w:r w:rsidR="0082044F" w:rsidRPr="0082044F">
        <w:rPr>
          <w:rFonts w:ascii="Times New Roman" w:hAnsi="Times New Roman" w:cs="Times New Roman"/>
          <w:sz w:val="24"/>
          <w:szCs w:val="24"/>
        </w:rPr>
        <w:t xml:space="preserve">, in </w:t>
      </w:r>
      <w:r w:rsidR="0082044F" w:rsidRPr="0082044F">
        <w:rPr>
          <w:rFonts w:ascii="Times New Roman" w:hAnsi="Times New Roman" w:cs="Times New Roman"/>
          <w:i/>
          <w:sz w:val="24"/>
          <w:szCs w:val="24"/>
        </w:rPr>
        <w:t>Menabò di Etica ed ec</w:t>
      </w:r>
      <w:r w:rsidR="0082044F">
        <w:rPr>
          <w:rFonts w:ascii="Times New Roman" w:hAnsi="Times New Roman" w:cs="Times New Roman"/>
          <w:i/>
          <w:sz w:val="24"/>
          <w:szCs w:val="24"/>
        </w:rPr>
        <w:t>o</w:t>
      </w:r>
      <w:r w:rsidR="0082044F" w:rsidRPr="0082044F">
        <w:rPr>
          <w:rFonts w:ascii="Times New Roman" w:hAnsi="Times New Roman" w:cs="Times New Roman"/>
          <w:i/>
          <w:sz w:val="24"/>
          <w:szCs w:val="24"/>
        </w:rPr>
        <w:t>n</w:t>
      </w:r>
      <w:r w:rsidR="0082044F">
        <w:rPr>
          <w:rFonts w:ascii="Times New Roman" w:hAnsi="Times New Roman" w:cs="Times New Roman"/>
          <w:i/>
          <w:sz w:val="24"/>
          <w:szCs w:val="24"/>
        </w:rPr>
        <w:t>o</w:t>
      </w:r>
      <w:r w:rsidR="0082044F" w:rsidRPr="0082044F">
        <w:rPr>
          <w:rFonts w:ascii="Times New Roman" w:hAnsi="Times New Roman" w:cs="Times New Roman"/>
          <w:i/>
          <w:sz w:val="24"/>
          <w:szCs w:val="24"/>
        </w:rPr>
        <w:t>mia</w:t>
      </w:r>
      <w:r w:rsidR="0082044F">
        <w:rPr>
          <w:rFonts w:ascii="Times New Roman" w:hAnsi="Times New Roman" w:cs="Times New Roman"/>
          <w:sz w:val="24"/>
          <w:szCs w:val="24"/>
        </w:rPr>
        <w:t>, n. 2023/</w:t>
      </w:r>
      <w:r w:rsidR="0082044F" w:rsidRPr="0082044F">
        <w:rPr>
          <w:rFonts w:ascii="Times New Roman" w:hAnsi="Times New Roman" w:cs="Times New Roman"/>
          <w:sz w:val="24"/>
          <w:szCs w:val="24"/>
        </w:rPr>
        <w:t>2023): le misure previste nel decreto rientrano in questa definizione.</w:t>
      </w:r>
    </w:p>
    <w:p w:rsidR="0082044F" w:rsidRPr="007F6CB1" w:rsidRDefault="0082044F" w:rsidP="007F6CB1">
      <w:pPr>
        <w:ind w:firstLine="360"/>
        <w:jc w:val="both"/>
        <w:rPr>
          <w:rFonts w:ascii="Times New Roman" w:hAnsi="Times New Roman" w:cs="Times New Roman"/>
          <w:sz w:val="24"/>
          <w:szCs w:val="24"/>
        </w:rPr>
      </w:pPr>
      <w:r w:rsidRPr="007F6CB1">
        <w:rPr>
          <w:rFonts w:ascii="Times New Roman" w:hAnsi="Times New Roman" w:cs="Times New Roman"/>
          <w:sz w:val="24"/>
          <w:szCs w:val="24"/>
        </w:rPr>
        <w:t>Questo comporta che l’unica legittimazione di questo genere di interventi legislativi, che presentano lo svantaggio di avere un significativo costo per la finanza pubblica (oltre 800 milioni di euro, art. 17 D.L. n. 62</w:t>
      </w:r>
      <w:r w:rsidR="00A437E0">
        <w:rPr>
          <w:rFonts w:ascii="Times New Roman" w:hAnsi="Times New Roman" w:cs="Times New Roman"/>
          <w:sz w:val="24"/>
          <w:szCs w:val="24"/>
        </w:rPr>
        <w:t>/</w:t>
      </w:r>
      <w:r w:rsidRPr="007F6CB1">
        <w:rPr>
          <w:rFonts w:ascii="Times New Roman" w:hAnsi="Times New Roman" w:cs="Times New Roman"/>
          <w:sz w:val="24"/>
          <w:szCs w:val="24"/>
        </w:rPr>
        <w:t xml:space="preserve">2026), sia l’effettivo conseguimento di un incremento stabile dell’occupazione.  </w:t>
      </w:r>
    </w:p>
    <w:p w:rsidR="007F6CB1" w:rsidRDefault="0082044F" w:rsidP="00A437E0">
      <w:pPr>
        <w:pStyle w:val="Default"/>
        <w:ind w:firstLine="360"/>
        <w:jc w:val="both"/>
        <w:rPr>
          <w:rFonts w:ascii="Times New Roman" w:hAnsi="Times New Roman" w:cs="Times New Roman"/>
          <w:color w:val="454545"/>
        </w:rPr>
      </w:pPr>
      <w:r w:rsidRPr="007F6CB1">
        <w:rPr>
          <w:rFonts w:ascii="Times New Roman" w:hAnsi="Times New Roman" w:cs="Times New Roman"/>
        </w:rPr>
        <w:t>È sta</w:t>
      </w:r>
      <w:r w:rsidR="007F6CB1" w:rsidRPr="007F6CB1">
        <w:rPr>
          <w:rFonts w:ascii="Times New Roman" w:hAnsi="Times New Roman" w:cs="Times New Roman"/>
        </w:rPr>
        <w:t>t</w:t>
      </w:r>
      <w:r w:rsidRPr="007F6CB1">
        <w:rPr>
          <w:rFonts w:ascii="Times New Roman" w:hAnsi="Times New Roman" w:cs="Times New Roman"/>
        </w:rPr>
        <w:t xml:space="preserve">o però ancora osservato in letteratura che </w:t>
      </w:r>
      <w:r w:rsidR="007F6CB1" w:rsidRPr="007F6CB1">
        <w:rPr>
          <w:rFonts w:ascii="Times New Roman" w:hAnsi="Times New Roman" w:cs="Times New Roman"/>
        </w:rPr>
        <w:t>“a</w:t>
      </w:r>
      <w:r w:rsidRPr="007F6CB1">
        <w:rPr>
          <w:rFonts w:ascii="Times New Roman" w:hAnsi="Times New Roman" w:cs="Times New Roman"/>
          <w:color w:val="454545"/>
        </w:rPr>
        <w:t>lcuni studi evidenziano invece come, quando la decontribuzione avviene sulla componente a carico del datore di lavoro, i risparmi sostenuti dalle imprese possano essere interamente trattenuti dalle stesse come profitti addizionali, senza effetti positivi sulla domanda di lavoro</w:t>
      </w:r>
      <w:r w:rsidR="007F6CB1" w:rsidRPr="007F6CB1">
        <w:rPr>
          <w:rFonts w:ascii="Times New Roman" w:hAnsi="Times New Roman" w:cs="Times New Roman"/>
          <w:color w:val="454545"/>
        </w:rPr>
        <w:t xml:space="preserve">” (G. Galli e F. Tucci, </w:t>
      </w:r>
      <w:r w:rsidR="007F6CB1" w:rsidRPr="007F6CB1">
        <w:rPr>
          <w:rFonts w:ascii="Times New Roman" w:hAnsi="Times New Roman" w:cs="Times New Roman"/>
          <w:bCs/>
          <w:i/>
          <w:color w:val="454545"/>
        </w:rPr>
        <w:t>La decontribuzione al Sud: un’analisi degli effetti</w:t>
      </w:r>
      <w:r w:rsidR="007F6CB1">
        <w:rPr>
          <w:rFonts w:ascii="Times New Roman" w:hAnsi="Times New Roman" w:cs="Times New Roman"/>
          <w:color w:val="454545"/>
        </w:rPr>
        <w:t>, in OCPI, osservatorio sui Conti Pubblici Italiani dell’Università Cattolica, 24 ottobre 2020, p. 4).</w:t>
      </w:r>
    </w:p>
    <w:p w:rsidR="007F6CB1" w:rsidRDefault="007F6CB1" w:rsidP="007F6CB1">
      <w:pPr>
        <w:pStyle w:val="Default"/>
        <w:ind w:firstLine="360"/>
        <w:rPr>
          <w:rFonts w:ascii="Times New Roman" w:hAnsi="Times New Roman" w:cs="Times New Roman"/>
          <w:color w:val="454545"/>
        </w:rPr>
      </w:pPr>
      <w:r>
        <w:rPr>
          <w:rFonts w:ascii="Times New Roman" w:hAnsi="Times New Roman" w:cs="Times New Roman"/>
          <w:color w:val="454545"/>
        </w:rPr>
        <w:t>Altri potranno dire</w:t>
      </w:r>
      <w:r w:rsidR="00103521">
        <w:rPr>
          <w:rFonts w:ascii="Times New Roman" w:hAnsi="Times New Roman" w:cs="Times New Roman"/>
          <w:color w:val="454545"/>
        </w:rPr>
        <w:t xml:space="preserve"> meglio e</w:t>
      </w:r>
      <w:r>
        <w:rPr>
          <w:rFonts w:ascii="Times New Roman" w:hAnsi="Times New Roman" w:cs="Times New Roman"/>
          <w:color w:val="454545"/>
        </w:rPr>
        <w:t xml:space="preserve"> di più.</w:t>
      </w:r>
    </w:p>
    <w:p w:rsidR="00051E4E" w:rsidRDefault="00051E4E" w:rsidP="004834C3">
      <w:pPr>
        <w:pStyle w:val="Default"/>
        <w:numPr>
          <w:ilvl w:val="0"/>
          <w:numId w:val="1"/>
        </w:numPr>
        <w:ind w:left="0" w:firstLine="360"/>
        <w:jc w:val="both"/>
        <w:rPr>
          <w:rFonts w:ascii="Times New Roman" w:hAnsi="Times New Roman" w:cs="Times New Roman"/>
          <w:color w:val="454545"/>
        </w:rPr>
      </w:pPr>
      <w:r>
        <w:rPr>
          <w:rFonts w:ascii="Times New Roman" w:hAnsi="Times New Roman" w:cs="Times New Roman"/>
          <w:color w:val="454545"/>
        </w:rPr>
        <w:t xml:space="preserve">Il c.d. salario giusto rappresenta certamente una novità significativa, evidenziando una definizione inedita e sicuramente differente da quella sulla quale in quasi tutti gli altri Paesi europei e nella discussione parlamentare della scorsa legislatura e anche di questa si era parlato, cioè il salario minimo legale. </w:t>
      </w:r>
    </w:p>
    <w:p w:rsidR="00BD66DD" w:rsidRDefault="00BD66DD" w:rsidP="00BD66DD">
      <w:pPr>
        <w:pStyle w:val="Default"/>
        <w:ind w:left="360"/>
        <w:jc w:val="both"/>
        <w:rPr>
          <w:rFonts w:ascii="Times New Roman" w:hAnsi="Times New Roman" w:cs="Times New Roman"/>
          <w:color w:val="454545"/>
        </w:rPr>
      </w:pPr>
      <w:r>
        <w:rPr>
          <w:rFonts w:ascii="Times New Roman" w:hAnsi="Times New Roman" w:cs="Times New Roman"/>
          <w:color w:val="454545"/>
        </w:rPr>
        <w:t>Il tema è molto complesso, e potrà in questa sede esse affrontato soltanto per alcuni aspetti.</w:t>
      </w:r>
    </w:p>
    <w:p w:rsidR="004834C3" w:rsidRDefault="004834C3" w:rsidP="004834C3">
      <w:pPr>
        <w:pStyle w:val="Default"/>
        <w:ind w:firstLine="360"/>
        <w:jc w:val="both"/>
        <w:rPr>
          <w:rFonts w:ascii="Times New Roman" w:hAnsi="Times New Roman" w:cs="Times New Roman"/>
          <w:color w:val="454545"/>
        </w:rPr>
      </w:pPr>
      <w:r>
        <w:rPr>
          <w:rFonts w:ascii="Times New Roman" w:hAnsi="Times New Roman" w:cs="Times New Roman"/>
          <w:color w:val="454545"/>
        </w:rPr>
        <w:t>Certamente occorre salutare con favore l’abbandono delle confuse formulazioni della inattuata legge delega 26 settembre 2025, n. 144.</w:t>
      </w:r>
    </w:p>
    <w:p w:rsidR="004834C3" w:rsidRDefault="004834C3" w:rsidP="004834C3">
      <w:pPr>
        <w:pStyle w:val="Default"/>
        <w:ind w:firstLine="360"/>
        <w:jc w:val="both"/>
        <w:rPr>
          <w:rFonts w:ascii="Times New Roman" w:hAnsi="Times New Roman" w:cs="Times New Roman"/>
          <w:color w:val="454545"/>
        </w:rPr>
      </w:pPr>
      <w:r>
        <w:rPr>
          <w:rFonts w:ascii="Times New Roman" w:hAnsi="Times New Roman" w:cs="Times New Roman"/>
          <w:color w:val="454545"/>
        </w:rPr>
        <w:lastRenderedPageBreak/>
        <w:t>Tuttavia, anche la formulazione attuale appare inadeguata a contrastare il fenomeno</w:t>
      </w:r>
      <w:r w:rsidR="00E056DD">
        <w:rPr>
          <w:rFonts w:ascii="Times New Roman" w:hAnsi="Times New Roman" w:cs="Times New Roman"/>
          <w:color w:val="454545"/>
        </w:rPr>
        <w:t xml:space="preserve"> del lavoro povero.</w:t>
      </w:r>
    </w:p>
    <w:p w:rsidR="00E056DD" w:rsidRDefault="00E056DD" w:rsidP="00E056DD">
      <w:pPr>
        <w:spacing w:after="0"/>
        <w:ind w:firstLine="360"/>
        <w:jc w:val="both"/>
        <w:rPr>
          <w:rFonts w:ascii="Times New Roman" w:hAnsi="Times New Roman" w:cs="Times New Roman"/>
          <w:sz w:val="24"/>
          <w:szCs w:val="24"/>
        </w:rPr>
      </w:pPr>
      <w:r>
        <w:rPr>
          <w:rFonts w:ascii="Times New Roman" w:hAnsi="Times New Roman" w:cs="Times New Roman"/>
          <w:sz w:val="24"/>
          <w:szCs w:val="24"/>
        </w:rPr>
        <w:t>In particolare, l’art. 7</w:t>
      </w:r>
      <w:r>
        <w:rPr>
          <w:rFonts w:ascii="Times New Roman" w:hAnsi="Times New Roman" w:cs="Times New Roman"/>
          <w:sz w:val="24"/>
          <w:szCs w:val="24"/>
        </w:rPr>
        <w:t>, co. 1,</w:t>
      </w:r>
      <w:r>
        <w:rPr>
          <w:rFonts w:ascii="Times New Roman" w:hAnsi="Times New Roman" w:cs="Times New Roman"/>
          <w:sz w:val="24"/>
          <w:szCs w:val="24"/>
        </w:rPr>
        <w:t xml:space="preserve"> prevede che la contrattazione collettiva costituisce lo strumento di attuazione dell’art. 36 della Costituzione, “assicurando ai lavoratori un trattamento economico complessivo adeguato alla quantità e alla qualità del lavoro prestato”: si deve trattare dei contratti collettivi stipulati dalle organizzazioni datoriali e sindacali comparativamente più rappresentative</w:t>
      </w:r>
      <w:r>
        <w:rPr>
          <w:rFonts w:ascii="Times New Roman" w:hAnsi="Times New Roman" w:cs="Times New Roman"/>
          <w:sz w:val="24"/>
          <w:szCs w:val="24"/>
        </w:rPr>
        <w:t xml:space="preserve"> (co. 2)</w:t>
      </w:r>
      <w:r>
        <w:rPr>
          <w:rFonts w:ascii="Times New Roman" w:hAnsi="Times New Roman" w:cs="Times New Roman"/>
          <w:sz w:val="24"/>
          <w:szCs w:val="24"/>
        </w:rPr>
        <w:t xml:space="preserve">, come già </w:t>
      </w:r>
      <w:r>
        <w:rPr>
          <w:rFonts w:ascii="Times New Roman" w:hAnsi="Times New Roman" w:cs="Times New Roman"/>
          <w:sz w:val="24"/>
          <w:szCs w:val="24"/>
        </w:rPr>
        <w:t xml:space="preserve">largamente </w:t>
      </w:r>
      <w:r>
        <w:rPr>
          <w:rFonts w:ascii="Times New Roman" w:hAnsi="Times New Roman" w:cs="Times New Roman"/>
          <w:sz w:val="24"/>
          <w:szCs w:val="24"/>
        </w:rPr>
        <w:t>riconosciuto dalla giurisprudenza (che non ha mai dubitato della immediata applicabilità della norma costituzionale).</w:t>
      </w:r>
    </w:p>
    <w:p w:rsidR="00E056DD" w:rsidRDefault="00E056DD" w:rsidP="002F18B6">
      <w:pPr>
        <w:spacing w:after="0"/>
        <w:ind w:firstLine="360"/>
        <w:jc w:val="both"/>
        <w:rPr>
          <w:rFonts w:ascii="Times New Roman" w:hAnsi="Times New Roman" w:cs="Times New Roman"/>
          <w:sz w:val="24"/>
          <w:szCs w:val="24"/>
        </w:rPr>
      </w:pPr>
      <w:r>
        <w:rPr>
          <w:rFonts w:ascii="Times New Roman" w:hAnsi="Times New Roman" w:cs="Times New Roman"/>
          <w:sz w:val="24"/>
          <w:szCs w:val="24"/>
        </w:rPr>
        <w:t>Indubbiamente, il fenomeno della contrattazione collettiva chiamata “pirata”, con cui organizzazioni di scarsa rappresentatività negoziano condizioni di lavoro al ribasso rispetto a quelle fissate dai contratti collettivi “veri”, riceve un segnale di netta disapprovazione da parte del legislatore, ma non viene messo definitivamente fuori gioco.</w:t>
      </w:r>
    </w:p>
    <w:p w:rsidR="00E056DD" w:rsidRDefault="00E056DD" w:rsidP="00B70003">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Infatti, è vero che i contratti collettivi pirata dovranno rispettare il trattamento economico complessivo fissato dal CCNL “vero” ma potranno continuare ad esistere e a regolare altri </w:t>
      </w:r>
      <w:r>
        <w:rPr>
          <w:rFonts w:ascii="Times New Roman" w:hAnsi="Times New Roman" w:cs="Times New Roman"/>
          <w:sz w:val="24"/>
          <w:szCs w:val="24"/>
        </w:rPr>
        <w:t xml:space="preserve">aspetti del rapporto di lavoro, cioè tutto il trattamento normativo del lavoratore e della lavoratrice (per esempio, durata delle ferie, periodo di preavviso per dimissioni e licenziamento, l’assegnazione a mansioni inferiori in ulteriori ipotesi rispetto a quelli legali, </w:t>
      </w:r>
      <w:r w:rsidRPr="00E056DD">
        <w:rPr>
          <w:rFonts w:ascii="Times New Roman" w:hAnsi="Times New Roman" w:cs="Times New Roman"/>
          <w:i/>
          <w:sz w:val="24"/>
          <w:szCs w:val="24"/>
        </w:rPr>
        <w:t>ex</w:t>
      </w:r>
      <w:r>
        <w:rPr>
          <w:rFonts w:ascii="Times New Roman" w:hAnsi="Times New Roman" w:cs="Times New Roman"/>
          <w:sz w:val="24"/>
          <w:szCs w:val="24"/>
        </w:rPr>
        <w:t xml:space="preserve"> art. 2103, co. 4, del codice civile, ecc. ecc.); né d’altra parte, nel rispetto della libertà sindacale garantita dall’art. 39, co. 1, Cost., il legislatore potrebbe vietare questo genere di contratti collettivi</w:t>
      </w:r>
      <w:r w:rsidR="007B1B82">
        <w:rPr>
          <w:rFonts w:ascii="Times New Roman" w:hAnsi="Times New Roman" w:cs="Times New Roman"/>
          <w:sz w:val="24"/>
          <w:szCs w:val="24"/>
        </w:rPr>
        <w:t xml:space="preserve"> (a parte l’ipotesi dell’attuazione dei commi 2-4 dell’art. 39 Cost., e della conseguente stipulazione di un contratto collettivo con efficacia generale)</w:t>
      </w:r>
      <w:r>
        <w:rPr>
          <w:rFonts w:ascii="Times New Roman" w:hAnsi="Times New Roman" w:cs="Times New Roman"/>
          <w:sz w:val="24"/>
          <w:szCs w:val="24"/>
        </w:rPr>
        <w:t xml:space="preserve">. Anzi, sotto questo profilo, si può dubitare della correttezza tecnica e della legittimità costituzionale del terzo comma dell’art. 7, nella parte nella quale, anziché garantire </w:t>
      </w:r>
      <w:r w:rsidR="00B70003">
        <w:rPr>
          <w:rFonts w:ascii="Times New Roman" w:hAnsi="Times New Roman" w:cs="Times New Roman"/>
          <w:sz w:val="24"/>
          <w:szCs w:val="24"/>
        </w:rPr>
        <w:t xml:space="preserve">di diritto, con la forza della legge, </w:t>
      </w:r>
      <w:r>
        <w:rPr>
          <w:rFonts w:ascii="Times New Roman" w:hAnsi="Times New Roman" w:cs="Times New Roman"/>
          <w:sz w:val="24"/>
          <w:szCs w:val="24"/>
        </w:rPr>
        <w:t xml:space="preserve">un minimo </w:t>
      </w:r>
      <w:r w:rsidR="00B70003">
        <w:rPr>
          <w:rFonts w:ascii="Times New Roman" w:hAnsi="Times New Roman" w:cs="Times New Roman"/>
          <w:sz w:val="24"/>
          <w:szCs w:val="24"/>
        </w:rPr>
        <w:t xml:space="preserve">di trattamento economico </w:t>
      </w:r>
      <w:r>
        <w:rPr>
          <w:rFonts w:ascii="Times New Roman" w:hAnsi="Times New Roman" w:cs="Times New Roman"/>
          <w:sz w:val="24"/>
          <w:szCs w:val="24"/>
        </w:rPr>
        <w:t xml:space="preserve">a lavoratori e lavoratrici, interviene </w:t>
      </w:r>
      <w:r w:rsidRPr="00E056DD">
        <w:rPr>
          <w:rFonts w:ascii="Times New Roman" w:hAnsi="Times New Roman" w:cs="Times New Roman"/>
          <w:i/>
          <w:sz w:val="24"/>
          <w:szCs w:val="24"/>
        </w:rPr>
        <w:t>direttamente</w:t>
      </w:r>
      <w:r>
        <w:rPr>
          <w:rFonts w:ascii="Times New Roman" w:hAnsi="Times New Roman" w:cs="Times New Roman"/>
          <w:sz w:val="24"/>
          <w:szCs w:val="24"/>
        </w:rPr>
        <w:t xml:space="preserve"> sulle previsioni di un contratto collettivo</w:t>
      </w:r>
      <w:r w:rsidR="00B70003">
        <w:rPr>
          <w:rFonts w:ascii="Times New Roman" w:hAnsi="Times New Roman" w:cs="Times New Roman"/>
          <w:sz w:val="24"/>
          <w:szCs w:val="24"/>
        </w:rPr>
        <w:t xml:space="preserve"> </w:t>
      </w:r>
      <w:r w:rsidR="00BD66DD" w:rsidRPr="00BD66DD">
        <w:rPr>
          <w:rFonts w:ascii="Times New Roman" w:hAnsi="Times New Roman" w:cs="Times New Roman"/>
          <w:i/>
          <w:sz w:val="24"/>
          <w:szCs w:val="24"/>
        </w:rPr>
        <w:t>diverso</w:t>
      </w:r>
      <w:r w:rsidR="00BD66DD">
        <w:rPr>
          <w:rFonts w:ascii="Times New Roman" w:hAnsi="Times New Roman" w:cs="Times New Roman"/>
          <w:sz w:val="24"/>
          <w:szCs w:val="24"/>
        </w:rPr>
        <w:t xml:space="preserve"> </w:t>
      </w:r>
      <w:r w:rsidR="00B70003">
        <w:rPr>
          <w:rFonts w:ascii="Times New Roman" w:hAnsi="Times New Roman" w:cs="Times New Roman"/>
          <w:sz w:val="24"/>
          <w:szCs w:val="24"/>
        </w:rPr>
        <w:t>dai contratti</w:t>
      </w:r>
      <w:r w:rsidR="00BD66DD">
        <w:rPr>
          <w:rFonts w:ascii="Times New Roman" w:hAnsi="Times New Roman" w:cs="Times New Roman"/>
          <w:sz w:val="24"/>
          <w:szCs w:val="24"/>
        </w:rPr>
        <w:t xml:space="preserve"> cosiddetti </w:t>
      </w:r>
      <w:r w:rsidR="00BD66DD" w:rsidRPr="00BD66DD">
        <w:rPr>
          <w:rFonts w:ascii="Times New Roman" w:hAnsi="Times New Roman" w:cs="Times New Roman"/>
          <w:i/>
          <w:sz w:val="24"/>
          <w:szCs w:val="24"/>
        </w:rPr>
        <w:t>leader</w:t>
      </w:r>
      <w:r w:rsidR="00BD66DD">
        <w:rPr>
          <w:rFonts w:ascii="Times New Roman" w:hAnsi="Times New Roman" w:cs="Times New Roman"/>
          <w:sz w:val="24"/>
          <w:szCs w:val="24"/>
        </w:rPr>
        <w:t xml:space="preserve">, </w:t>
      </w:r>
      <w:r>
        <w:rPr>
          <w:rFonts w:ascii="Times New Roman" w:hAnsi="Times New Roman" w:cs="Times New Roman"/>
          <w:sz w:val="24"/>
          <w:szCs w:val="24"/>
        </w:rPr>
        <w:t xml:space="preserve">imponendo che </w:t>
      </w:r>
      <w:r w:rsidR="00B70003">
        <w:rPr>
          <w:rFonts w:ascii="Times New Roman" w:hAnsi="Times New Roman" w:cs="Times New Roman"/>
          <w:sz w:val="24"/>
          <w:szCs w:val="24"/>
        </w:rPr>
        <w:t xml:space="preserve">i contratti collettivi che non siano stati stipulati dalle organizzazioni comparativamente più rappresentative debbano prevedere un trattamento economico </w:t>
      </w:r>
      <w:r w:rsidR="00B70003">
        <w:rPr>
          <w:rFonts w:ascii="Times New Roman" w:hAnsi="Times New Roman" w:cs="Times New Roman"/>
          <w:sz w:val="24"/>
          <w:szCs w:val="24"/>
        </w:rPr>
        <w:t>non inferiore</w:t>
      </w:r>
      <w:r w:rsidR="00B70003">
        <w:rPr>
          <w:rFonts w:ascii="Times New Roman" w:hAnsi="Times New Roman" w:cs="Times New Roman"/>
          <w:sz w:val="24"/>
          <w:szCs w:val="24"/>
        </w:rPr>
        <w:t xml:space="preserve"> a quello previsto</w:t>
      </w:r>
      <w:r w:rsidR="00BD66DD">
        <w:rPr>
          <w:rFonts w:ascii="Times New Roman" w:hAnsi="Times New Roman" w:cs="Times New Roman"/>
          <w:sz w:val="24"/>
          <w:szCs w:val="24"/>
        </w:rPr>
        <w:t xml:space="preserve"> dai contratti </w:t>
      </w:r>
      <w:r w:rsidR="00BD66DD">
        <w:rPr>
          <w:rFonts w:ascii="Times New Roman" w:hAnsi="Times New Roman" w:cs="Times New Roman"/>
          <w:sz w:val="24"/>
          <w:szCs w:val="24"/>
        </w:rPr>
        <w:t>da queste ultime stipulat</w:t>
      </w:r>
      <w:r w:rsidR="00BD66DD">
        <w:rPr>
          <w:rFonts w:ascii="Times New Roman" w:hAnsi="Times New Roman" w:cs="Times New Roman"/>
          <w:sz w:val="24"/>
          <w:szCs w:val="24"/>
        </w:rPr>
        <w:t xml:space="preserve">i. </w:t>
      </w:r>
      <w:r w:rsidR="00BD66DD">
        <w:rPr>
          <w:rFonts w:ascii="Times New Roman" w:hAnsi="Times New Roman" w:cs="Times New Roman"/>
          <w:sz w:val="24"/>
          <w:szCs w:val="24"/>
        </w:rPr>
        <w:t xml:space="preserve">E il precedente di una sostituzione </w:t>
      </w:r>
      <w:r w:rsidR="00BD66DD" w:rsidRPr="00B70003">
        <w:rPr>
          <w:rFonts w:ascii="Times New Roman" w:hAnsi="Times New Roman" w:cs="Times New Roman"/>
          <w:i/>
          <w:sz w:val="24"/>
          <w:szCs w:val="24"/>
        </w:rPr>
        <w:t>ex lege</w:t>
      </w:r>
      <w:r w:rsidR="00BD66DD">
        <w:rPr>
          <w:rFonts w:ascii="Times New Roman" w:hAnsi="Times New Roman" w:cs="Times New Roman"/>
          <w:sz w:val="24"/>
          <w:szCs w:val="24"/>
        </w:rPr>
        <w:t xml:space="preserve"> di clausole contrattuali dovrebbe preoccupare tutte le parti sociali, al di là della loro consistenza.</w:t>
      </w:r>
    </w:p>
    <w:p w:rsidR="00BD66DD" w:rsidRDefault="00BD66DD" w:rsidP="00B70003">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Per quanto riguarda la definizione dei CCNL “veri”, l’art. 7, co. 2, crea un meccanismo di valutazione della rappresentatività del tutto asimmetrico nelle due opposte parti. </w:t>
      </w:r>
    </w:p>
    <w:p w:rsidR="00BD66DD" w:rsidRDefault="00BD66DD" w:rsidP="00B70003">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Per quanto riguarda la parte datoriale, la rappresentatività comparativamente maggiore si misura “avuto riguardo al settore e alla categoria produttivi di riferimento”, con i parametri legali della “dimensione” e della “natura giuridica del datore di lavoro”. È molto facile osservare che questa oggettivazione del perimetro di misurazione delle organizzazioni datoriali di fatto precostituisce </w:t>
      </w:r>
      <w:r w:rsidR="007B1B82">
        <w:rPr>
          <w:rFonts w:ascii="Times New Roman" w:hAnsi="Times New Roman" w:cs="Times New Roman"/>
          <w:sz w:val="24"/>
          <w:szCs w:val="24"/>
        </w:rPr>
        <w:t>unità contrattuali: se si parla di “natura giuridica del datore di lavoro”, si pensa immediatamente alla distinzione tra imprese individuali o in forma societaria, da un lato; imprese cooperative</w:t>
      </w:r>
      <w:r w:rsidR="00CC0CE5">
        <w:rPr>
          <w:rFonts w:ascii="Times New Roman" w:hAnsi="Times New Roman" w:cs="Times New Roman"/>
          <w:sz w:val="24"/>
          <w:szCs w:val="24"/>
        </w:rPr>
        <w:t xml:space="preserve"> dall’altro</w:t>
      </w:r>
      <w:r w:rsidR="007B1B82">
        <w:rPr>
          <w:rFonts w:ascii="Times New Roman" w:hAnsi="Times New Roman" w:cs="Times New Roman"/>
          <w:sz w:val="24"/>
          <w:szCs w:val="24"/>
        </w:rPr>
        <w:t>; imprese artigiane</w:t>
      </w:r>
      <w:r w:rsidR="00CC0CE5">
        <w:rPr>
          <w:rFonts w:ascii="Times New Roman" w:hAnsi="Times New Roman" w:cs="Times New Roman"/>
          <w:sz w:val="24"/>
          <w:szCs w:val="24"/>
        </w:rPr>
        <w:t>, da un altro ancora</w:t>
      </w:r>
      <w:r w:rsidR="007B1B82">
        <w:rPr>
          <w:rFonts w:ascii="Times New Roman" w:hAnsi="Times New Roman" w:cs="Times New Roman"/>
          <w:sz w:val="24"/>
          <w:szCs w:val="24"/>
        </w:rPr>
        <w:t xml:space="preserve">. Se invece si pensa alla dimensione, il legislatore del D.L. n. 62/2026 sta aiutando il ritaglio di unità contrattuali su misura delle organizzazioni datoriali che su base dimensionale si sono costituite e strutturate. </w:t>
      </w:r>
    </w:p>
    <w:p w:rsidR="00AA28ED" w:rsidRDefault="00AA28ED" w:rsidP="00B70003">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Viceversa, nulla dice il decreto sulla misurazione della rappresentatività dal lato delle organizzazioni sindacali dei lavoratori e delle lavoratrici, rinviando implicitamente all’elaborazione giurisprudenziali che da oltre mezzo secolo, in relazione a diversi testi legislativi e a diverse funzioni della misurazione della rappresentatività, si è esercitata sul tema, con le incertezze e oscillazioni ben note alle stesse parte sociali, oltre che alla dottrina giuslavoristica. </w:t>
      </w:r>
    </w:p>
    <w:p w:rsidR="00AA28ED" w:rsidRDefault="00AA28ED" w:rsidP="00B70003">
      <w:pPr>
        <w:spacing w:after="0"/>
        <w:ind w:firstLine="360"/>
        <w:jc w:val="both"/>
        <w:rPr>
          <w:rFonts w:ascii="Times New Roman" w:hAnsi="Times New Roman" w:cs="Times New Roman"/>
          <w:sz w:val="24"/>
          <w:szCs w:val="24"/>
        </w:rPr>
      </w:pPr>
      <w:r>
        <w:rPr>
          <w:rFonts w:ascii="Times New Roman" w:hAnsi="Times New Roman" w:cs="Times New Roman"/>
          <w:sz w:val="24"/>
          <w:szCs w:val="24"/>
        </w:rPr>
        <w:t>Va quindi osservato che il tema delicatissimo della definizione delle unità contrattuali sulle quali misurare – questo va sottolineato – non già la rappre</w:t>
      </w:r>
      <w:r w:rsidR="00FB21CA">
        <w:rPr>
          <w:rFonts w:ascii="Times New Roman" w:hAnsi="Times New Roman" w:cs="Times New Roman"/>
          <w:sz w:val="24"/>
          <w:szCs w:val="24"/>
        </w:rPr>
        <w:t>s</w:t>
      </w:r>
      <w:r>
        <w:rPr>
          <w:rFonts w:ascii="Times New Roman" w:hAnsi="Times New Roman" w:cs="Times New Roman"/>
          <w:sz w:val="24"/>
          <w:szCs w:val="24"/>
        </w:rPr>
        <w:t>entatività delle singole organizzazioni stip</w:t>
      </w:r>
      <w:r w:rsidR="00FB21CA">
        <w:rPr>
          <w:rFonts w:ascii="Times New Roman" w:hAnsi="Times New Roman" w:cs="Times New Roman"/>
          <w:sz w:val="24"/>
          <w:szCs w:val="24"/>
        </w:rPr>
        <w:t>ulanti</w:t>
      </w:r>
      <w:r>
        <w:rPr>
          <w:rFonts w:ascii="Times New Roman" w:hAnsi="Times New Roman" w:cs="Times New Roman"/>
          <w:sz w:val="24"/>
          <w:szCs w:val="24"/>
        </w:rPr>
        <w:t>,</w:t>
      </w:r>
      <w:r w:rsidR="00FB21CA">
        <w:rPr>
          <w:rFonts w:ascii="Times New Roman" w:hAnsi="Times New Roman" w:cs="Times New Roman"/>
          <w:sz w:val="24"/>
          <w:szCs w:val="24"/>
        </w:rPr>
        <w:t xml:space="preserve"> </w:t>
      </w:r>
      <w:r>
        <w:rPr>
          <w:rFonts w:ascii="Times New Roman" w:hAnsi="Times New Roman" w:cs="Times New Roman"/>
          <w:sz w:val="24"/>
          <w:szCs w:val="24"/>
        </w:rPr>
        <w:t xml:space="preserve">ma </w:t>
      </w:r>
      <w:r w:rsidR="00FB21CA">
        <w:rPr>
          <w:rFonts w:ascii="Times New Roman" w:hAnsi="Times New Roman" w:cs="Times New Roman"/>
          <w:sz w:val="24"/>
          <w:szCs w:val="24"/>
        </w:rPr>
        <w:t xml:space="preserve">quella sommata delle organizzazioni delle due parti ai fini della definizione dell’unico contratto collettivo nazionale da prendere a riferimento </w:t>
      </w:r>
      <w:r w:rsidR="00FB21CA" w:rsidRPr="00FB21CA">
        <w:rPr>
          <w:rFonts w:ascii="Times New Roman" w:hAnsi="Times New Roman" w:cs="Times New Roman"/>
          <w:i/>
          <w:sz w:val="24"/>
          <w:szCs w:val="24"/>
        </w:rPr>
        <w:t>ex</w:t>
      </w:r>
      <w:r w:rsidR="00FB21CA">
        <w:rPr>
          <w:rFonts w:ascii="Times New Roman" w:hAnsi="Times New Roman" w:cs="Times New Roman"/>
          <w:sz w:val="24"/>
          <w:szCs w:val="24"/>
        </w:rPr>
        <w:t xml:space="preserve"> art. 7, co. 2, sarà misurazione effettuata su unità contrattuali di fatto predeterminate dal legislatore in riferimento alle caratteristiche delle imprese, come si è già detto.</w:t>
      </w:r>
    </w:p>
    <w:p w:rsidR="00FB21CA" w:rsidRDefault="00FB21CA" w:rsidP="00B70003">
      <w:pPr>
        <w:spacing w:after="0"/>
        <w:ind w:firstLine="360"/>
        <w:jc w:val="both"/>
        <w:rPr>
          <w:rFonts w:ascii="Times New Roman" w:hAnsi="Times New Roman" w:cs="Times New Roman"/>
          <w:sz w:val="24"/>
          <w:szCs w:val="24"/>
        </w:rPr>
      </w:pPr>
      <w:r>
        <w:rPr>
          <w:rFonts w:ascii="Times New Roman" w:hAnsi="Times New Roman" w:cs="Times New Roman"/>
          <w:sz w:val="24"/>
          <w:szCs w:val="24"/>
        </w:rPr>
        <w:t>Si può sostenere, e c’è chi lo ha sostenuto, che comunque l’applicazione del contratto collettivo nazionale “vero” al posto di quello “pirata” determinerà comunque un incremento salariale ma si tratta di un argomento fallace.</w:t>
      </w:r>
    </w:p>
    <w:p w:rsidR="00FB21CA" w:rsidRDefault="00FB21CA" w:rsidP="00B70003">
      <w:pPr>
        <w:spacing w:after="0"/>
        <w:ind w:firstLine="360"/>
        <w:jc w:val="both"/>
        <w:rPr>
          <w:rFonts w:ascii="Times New Roman" w:hAnsi="Times New Roman" w:cs="Times New Roman"/>
          <w:sz w:val="24"/>
          <w:szCs w:val="24"/>
        </w:rPr>
      </w:pPr>
      <w:r>
        <w:rPr>
          <w:rFonts w:ascii="Times New Roman" w:hAnsi="Times New Roman" w:cs="Times New Roman"/>
          <w:sz w:val="24"/>
          <w:szCs w:val="24"/>
        </w:rPr>
        <w:t>Non si può qui indagare su quanto siano affidabili i dati che l’INPS</w:t>
      </w:r>
      <w:r w:rsidR="002F18B6">
        <w:rPr>
          <w:rFonts w:ascii="Times New Roman" w:hAnsi="Times New Roman" w:cs="Times New Roman"/>
          <w:sz w:val="24"/>
          <w:szCs w:val="24"/>
        </w:rPr>
        <w:t xml:space="preserve"> forn</w:t>
      </w:r>
      <w:r>
        <w:rPr>
          <w:rFonts w:ascii="Times New Roman" w:hAnsi="Times New Roman" w:cs="Times New Roman"/>
          <w:sz w:val="24"/>
          <w:szCs w:val="24"/>
        </w:rPr>
        <w:t xml:space="preserve">isce e che il CNEL riprende, sulla base dei quali l’applicazione dei contratti collettivi “pirata” riguarderebbe una percentuale tra il 2% e il 3% del totale dei lavoratori: in realtà, l’INPS si basa sul contratto collettivo che le imprese </w:t>
      </w:r>
      <w:r w:rsidR="002F18B6">
        <w:rPr>
          <w:rFonts w:ascii="Times New Roman" w:hAnsi="Times New Roman" w:cs="Times New Roman"/>
          <w:sz w:val="24"/>
          <w:szCs w:val="24"/>
        </w:rPr>
        <w:t>dichiarano ai f</w:t>
      </w:r>
      <w:r>
        <w:rPr>
          <w:rFonts w:ascii="Times New Roman" w:hAnsi="Times New Roman" w:cs="Times New Roman"/>
          <w:sz w:val="24"/>
          <w:szCs w:val="24"/>
        </w:rPr>
        <w:t>ini del calcolo dei contributi, che non sempre corrisponde a quello che poi viene applicato dalle stesse imprese a chi lavora alle lor</w:t>
      </w:r>
      <w:r w:rsidR="002F18B6">
        <w:rPr>
          <w:rFonts w:ascii="Times New Roman" w:hAnsi="Times New Roman" w:cs="Times New Roman"/>
          <w:sz w:val="24"/>
          <w:szCs w:val="24"/>
        </w:rPr>
        <w:t>o dip</w:t>
      </w:r>
      <w:r>
        <w:rPr>
          <w:rFonts w:ascii="Times New Roman" w:hAnsi="Times New Roman" w:cs="Times New Roman"/>
          <w:sz w:val="24"/>
          <w:szCs w:val="24"/>
        </w:rPr>
        <w:t>endenze.</w:t>
      </w:r>
    </w:p>
    <w:p w:rsidR="00841E40" w:rsidRDefault="00FB21CA" w:rsidP="00B70003">
      <w:pPr>
        <w:spacing w:after="0"/>
        <w:ind w:firstLine="360"/>
        <w:jc w:val="both"/>
        <w:rPr>
          <w:rFonts w:ascii="Times New Roman" w:hAnsi="Times New Roman" w:cs="Times New Roman"/>
          <w:sz w:val="24"/>
          <w:szCs w:val="24"/>
        </w:rPr>
      </w:pPr>
      <w:r>
        <w:rPr>
          <w:rFonts w:ascii="Times New Roman" w:hAnsi="Times New Roman" w:cs="Times New Roman"/>
          <w:sz w:val="24"/>
          <w:szCs w:val="24"/>
        </w:rPr>
        <w:t>In verità, il problema sarebbe facilmente risolvibile con una disposizione di legge che imponesse alle imprese di corrispondere ai dipendenti la retribuzione prevista nei contratti collettivi nazionali che dichiarano all’INPS ai fini della definizione degli oneri contributivi</w:t>
      </w:r>
      <w:r w:rsidR="00841E40">
        <w:rPr>
          <w:rFonts w:ascii="Times New Roman" w:hAnsi="Times New Roman" w:cs="Times New Roman"/>
          <w:sz w:val="24"/>
          <w:szCs w:val="24"/>
        </w:rPr>
        <w:t xml:space="preserve">: ma questa disposizione di legge – che non violerebbe la </w:t>
      </w:r>
      <w:r w:rsidR="00565B42">
        <w:rPr>
          <w:rFonts w:ascii="Times New Roman" w:hAnsi="Times New Roman" w:cs="Times New Roman"/>
          <w:sz w:val="24"/>
          <w:szCs w:val="24"/>
        </w:rPr>
        <w:t>libertà</w:t>
      </w:r>
      <w:r w:rsidR="00841E40">
        <w:rPr>
          <w:rFonts w:ascii="Times New Roman" w:hAnsi="Times New Roman" w:cs="Times New Roman"/>
          <w:sz w:val="24"/>
          <w:szCs w:val="24"/>
        </w:rPr>
        <w:t xml:space="preserve"> sindacale di nessuno – nel D.L. n. 62/2026 non c’è</w:t>
      </w:r>
      <w:r w:rsidR="002F18B6">
        <w:rPr>
          <w:rFonts w:ascii="Times New Roman" w:hAnsi="Times New Roman" w:cs="Times New Roman"/>
          <w:sz w:val="24"/>
          <w:szCs w:val="24"/>
        </w:rPr>
        <w:t>, non par</w:t>
      </w:r>
      <w:r w:rsidR="00565B42">
        <w:rPr>
          <w:rFonts w:ascii="Times New Roman" w:hAnsi="Times New Roman" w:cs="Times New Roman"/>
          <w:sz w:val="24"/>
          <w:szCs w:val="24"/>
        </w:rPr>
        <w:t>e</w:t>
      </w:r>
      <w:r w:rsidR="002F18B6">
        <w:rPr>
          <w:rFonts w:ascii="Times New Roman" w:hAnsi="Times New Roman" w:cs="Times New Roman"/>
          <w:sz w:val="24"/>
          <w:szCs w:val="24"/>
        </w:rPr>
        <w:t>n</w:t>
      </w:r>
      <w:r w:rsidR="00565B42">
        <w:rPr>
          <w:rFonts w:ascii="Times New Roman" w:hAnsi="Times New Roman" w:cs="Times New Roman"/>
          <w:sz w:val="24"/>
          <w:szCs w:val="24"/>
        </w:rPr>
        <w:t>do idoneo al fine di creare un diritto di credito in capo al lavoratore la previsione dell’art. 12, co. 6, D.L. n. 62/</w:t>
      </w:r>
      <w:r w:rsidR="002F18B6">
        <w:rPr>
          <w:rFonts w:ascii="Times New Roman" w:hAnsi="Times New Roman" w:cs="Times New Roman"/>
          <w:sz w:val="24"/>
          <w:szCs w:val="24"/>
        </w:rPr>
        <w:t xml:space="preserve">2026, che impone </w:t>
      </w:r>
      <w:r w:rsidR="00565B42">
        <w:rPr>
          <w:rFonts w:ascii="Times New Roman" w:hAnsi="Times New Roman" w:cs="Times New Roman"/>
          <w:sz w:val="24"/>
          <w:szCs w:val="24"/>
        </w:rPr>
        <w:t>la pubblicazione del CCNL ap</w:t>
      </w:r>
      <w:r w:rsidR="002F18B6">
        <w:rPr>
          <w:rFonts w:ascii="Times New Roman" w:hAnsi="Times New Roman" w:cs="Times New Roman"/>
          <w:sz w:val="24"/>
          <w:szCs w:val="24"/>
        </w:rPr>
        <w:t>plicato</w:t>
      </w:r>
      <w:r w:rsidR="00841E40">
        <w:rPr>
          <w:rFonts w:ascii="Times New Roman" w:hAnsi="Times New Roman" w:cs="Times New Roman"/>
          <w:sz w:val="24"/>
          <w:szCs w:val="24"/>
        </w:rPr>
        <w:t>.</w:t>
      </w:r>
    </w:p>
    <w:p w:rsidR="00841E40" w:rsidRDefault="00FB21CA" w:rsidP="00B70003">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841E40">
        <w:rPr>
          <w:rFonts w:ascii="Times New Roman" w:hAnsi="Times New Roman" w:cs="Times New Roman"/>
          <w:sz w:val="24"/>
          <w:szCs w:val="24"/>
        </w:rPr>
        <w:t>P</w:t>
      </w:r>
      <w:r w:rsidR="002F18B6">
        <w:rPr>
          <w:rFonts w:ascii="Times New Roman" w:hAnsi="Times New Roman" w:cs="Times New Roman"/>
          <w:sz w:val="24"/>
          <w:szCs w:val="24"/>
        </w:rPr>
        <w:t xml:space="preserve">er tornare </w:t>
      </w:r>
      <w:r w:rsidR="00841E40">
        <w:rPr>
          <w:rFonts w:ascii="Times New Roman" w:hAnsi="Times New Roman" w:cs="Times New Roman"/>
          <w:sz w:val="24"/>
          <w:szCs w:val="24"/>
        </w:rPr>
        <w:t>a</w:t>
      </w:r>
      <w:r w:rsidR="002F18B6">
        <w:rPr>
          <w:rFonts w:ascii="Times New Roman" w:hAnsi="Times New Roman" w:cs="Times New Roman"/>
          <w:sz w:val="24"/>
          <w:szCs w:val="24"/>
        </w:rPr>
        <w:t>l</w:t>
      </w:r>
      <w:r w:rsidR="00841E40">
        <w:rPr>
          <w:rFonts w:ascii="Times New Roman" w:hAnsi="Times New Roman" w:cs="Times New Roman"/>
          <w:sz w:val="24"/>
          <w:szCs w:val="24"/>
        </w:rPr>
        <w:t xml:space="preserve"> molto ipotetico vantaggio retributivo che deriverebbe a lavoratori e lavoratrici cui in ipotesi fosse applicato il trattamento inferiore previsto dai contratti “pirata”, prima del decreto il lavoratore avrebbe dovuto invocare dal giudice che la retribuzione corrisposta fosse insufficiente: e avrebbe avuto ragione dal giudice, come fu stabilito proprio in riferimento a un contratto collettivo “pirata” dalla sentenza della Cass., sez. lav., 31 maggio 2022, n. 17698, che sostituì a quello erogato dal datore di lavoro il trattamento economico previsto da un contratto collettivo nazionale stipulato dalle organizzazioni comparativamente più rappresentative.</w:t>
      </w:r>
    </w:p>
    <w:p w:rsidR="00841E40" w:rsidRDefault="00841E40" w:rsidP="00B70003">
      <w:pPr>
        <w:spacing w:after="0"/>
        <w:ind w:firstLine="360"/>
        <w:jc w:val="both"/>
        <w:rPr>
          <w:rFonts w:ascii="Times New Roman" w:hAnsi="Times New Roman" w:cs="Times New Roman"/>
          <w:sz w:val="24"/>
          <w:szCs w:val="24"/>
        </w:rPr>
      </w:pPr>
      <w:r>
        <w:rPr>
          <w:rFonts w:ascii="Times New Roman" w:hAnsi="Times New Roman" w:cs="Times New Roman"/>
          <w:sz w:val="24"/>
          <w:szCs w:val="24"/>
        </w:rPr>
        <w:t>In vigenza del D.L. n. 62/</w:t>
      </w:r>
      <w:r w:rsidR="00CC0CE5">
        <w:rPr>
          <w:rFonts w:ascii="Times New Roman" w:hAnsi="Times New Roman" w:cs="Times New Roman"/>
          <w:sz w:val="24"/>
          <w:szCs w:val="24"/>
        </w:rPr>
        <w:t>2</w:t>
      </w:r>
      <w:r>
        <w:rPr>
          <w:rFonts w:ascii="Times New Roman" w:hAnsi="Times New Roman" w:cs="Times New Roman"/>
          <w:sz w:val="24"/>
          <w:szCs w:val="24"/>
        </w:rPr>
        <w:t>026, invece, se l’impresa erogasse un trattamento inferiore a quello previsto dall’</w:t>
      </w:r>
      <w:r w:rsidR="00565B42">
        <w:rPr>
          <w:rFonts w:ascii="Times New Roman" w:hAnsi="Times New Roman" w:cs="Times New Roman"/>
          <w:sz w:val="24"/>
          <w:szCs w:val="24"/>
        </w:rPr>
        <w:t>art. 12 del</w:t>
      </w:r>
      <w:r>
        <w:rPr>
          <w:rFonts w:ascii="Times New Roman" w:hAnsi="Times New Roman" w:cs="Times New Roman"/>
          <w:sz w:val="24"/>
          <w:szCs w:val="24"/>
        </w:rPr>
        <w:t xml:space="preserve"> D.L., il lavoratore dovrebbe ugualmente adire il giudice per farsi riconoscere esattamente lo stesso trattamento che gli sarebbe stato riconosciuto anche prima del D.L. n. 62/2026. Non si vede, dunque, alcun progresso</w:t>
      </w:r>
      <w:r w:rsidR="00CC0CE5">
        <w:rPr>
          <w:rFonts w:ascii="Times New Roman" w:hAnsi="Times New Roman" w:cs="Times New Roman"/>
          <w:sz w:val="24"/>
          <w:szCs w:val="24"/>
        </w:rPr>
        <w:t>, se non, forse, per l’attività degli organi ispettivi</w:t>
      </w:r>
      <w:r>
        <w:rPr>
          <w:rFonts w:ascii="Times New Roman" w:hAnsi="Times New Roman" w:cs="Times New Roman"/>
          <w:sz w:val="24"/>
          <w:szCs w:val="24"/>
        </w:rPr>
        <w:t>.</w:t>
      </w:r>
    </w:p>
    <w:p w:rsidR="00841E40" w:rsidRDefault="00841E40" w:rsidP="00B70003">
      <w:pPr>
        <w:spacing w:after="0"/>
        <w:ind w:firstLine="360"/>
        <w:jc w:val="both"/>
        <w:rPr>
          <w:rFonts w:ascii="Times New Roman" w:hAnsi="Times New Roman" w:cs="Times New Roman"/>
          <w:sz w:val="24"/>
          <w:szCs w:val="24"/>
        </w:rPr>
      </w:pPr>
      <w:r>
        <w:rPr>
          <w:rFonts w:ascii="Times New Roman" w:hAnsi="Times New Roman" w:cs="Times New Roman"/>
          <w:sz w:val="24"/>
          <w:szCs w:val="24"/>
        </w:rPr>
        <w:t>Inoltre, a sostegno dell’art. 12 è stato individuato il riferimento al trattamento economico complessivo anziché a un min</w:t>
      </w:r>
      <w:r w:rsidR="00565B42">
        <w:rPr>
          <w:rFonts w:ascii="Times New Roman" w:hAnsi="Times New Roman" w:cs="Times New Roman"/>
          <w:sz w:val="24"/>
          <w:szCs w:val="24"/>
        </w:rPr>
        <w:t>i</w:t>
      </w:r>
      <w:r>
        <w:rPr>
          <w:rFonts w:ascii="Times New Roman" w:hAnsi="Times New Roman" w:cs="Times New Roman"/>
          <w:sz w:val="24"/>
          <w:szCs w:val="24"/>
        </w:rPr>
        <w:t>mo. Tuttavia, non tutti i settori economici e non tutti i contratti collettivi nazionale hanno – a differenza dell’industria</w:t>
      </w:r>
      <w:r w:rsidR="00CC0CE5">
        <w:rPr>
          <w:rFonts w:ascii="Times New Roman" w:hAnsi="Times New Roman" w:cs="Times New Roman"/>
          <w:sz w:val="24"/>
          <w:szCs w:val="24"/>
        </w:rPr>
        <w:t>, dove a una previsione generale a livello interconfederale si sono aggiunte alcune previsioni dei CCNL</w:t>
      </w:r>
      <w:r>
        <w:rPr>
          <w:rFonts w:ascii="Times New Roman" w:hAnsi="Times New Roman" w:cs="Times New Roman"/>
          <w:sz w:val="24"/>
          <w:szCs w:val="24"/>
        </w:rPr>
        <w:t xml:space="preserve"> – una defin</w:t>
      </w:r>
      <w:r w:rsidR="00565B42">
        <w:rPr>
          <w:rFonts w:ascii="Times New Roman" w:hAnsi="Times New Roman" w:cs="Times New Roman"/>
          <w:sz w:val="24"/>
          <w:szCs w:val="24"/>
        </w:rPr>
        <w:t>iz</w:t>
      </w:r>
      <w:r>
        <w:rPr>
          <w:rFonts w:ascii="Times New Roman" w:hAnsi="Times New Roman" w:cs="Times New Roman"/>
          <w:sz w:val="24"/>
          <w:szCs w:val="24"/>
        </w:rPr>
        <w:t>ione contrattuale del trattamento economico complessivo</w:t>
      </w:r>
      <w:r w:rsidR="00565B42">
        <w:rPr>
          <w:rFonts w:ascii="Times New Roman" w:hAnsi="Times New Roman" w:cs="Times New Roman"/>
          <w:sz w:val="24"/>
          <w:szCs w:val="24"/>
        </w:rPr>
        <w:t xml:space="preserve">. E, se si vuole evitare di attuare una estensione dell’efficacia soggettiva dei contratti collettivi che è stata preclusa al legislatore nazionale a partire dalla sentenza della Corte costituzionale n. 106/1962, </w:t>
      </w:r>
      <w:r w:rsidR="00CC0CE5">
        <w:rPr>
          <w:rFonts w:ascii="Times New Roman" w:hAnsi="Times New Roman" w:cs="Times New Roman"/>
          <w:sz w:val="24"/>
          <w:szCs w:val="24"/>
        </w:rPr>
        <w:t xml:space="preserve">e che quindi impedisce al </w:t>
      </w:r>
      <w:r w:rsidR="007D4BFF">
        <w:rPr>
          <w:rFonts w:ascii="Times New Roman" w:hAnsi="Times New Roman" w:cs="Times New Roman"/>
          <w:sz w:val="24"/>
          <w:szCs w:val="24"/>
        </w:rPr>
        <w:t>legislatore</w:t>
      </w:r>
      <w:bookmarkStart w:id="0" w:name="_GoBack"/>
      <w:bookmarkEnd w:id="0"/>
      <w:r w:rsidR="00CC0CE5">
        <w:rPr>
          <w:rFonts w:ascii="Times New Roman" w:hAnsi="Times New Roman" w:cs="Times New Roman"/>
          <w:sz w:val="24"/>
          <w:szCs w:val="24"/>
        </w:rPr>
        <w:t xml:space="preserve"> di prescrivere direttamente l’applicazione </w:t>
      </w:r>
      <w:r w:rsidR="00565B42">
        <w:rPr>
          <w:rFonts w:ascii="Times New Roman" w:hAnsi="Times New Roman" w:cs="Times New Roman"/>
          <w:sz w:val="24"/>
          <w:szCs w:val="24"/>
        </w:rPr>
        <w:t xml:space="preserve">necessariamente a un trattamento economico complessivo non inferiore a qualcosa (nel D.L. a quello dei CCNL “veri”, nella sentenza della Corte costituzionale n. 51/2015 alla previsione legale per i soci lavoratori delle cooperative) si potrà </w:t>
      </w:r>
      <w:r w:rsidR="00CC0CE5">
        <w:rPr>
          <w:rFonts w:ascii="Times New Roman" w:hAnsi="Times New Roman" w:cs="Times New Roman"/>
          <w:sz w:val="24"/>
          <w:szCs w:val="24"/>
        </w:rPr>
        <w:t xml:space="preserve">e si dovrà </w:t>
      </w:r>
      <w:r w:rsidR="00565B42">
        <w:rPr>
          <w:rFonts w:ascii="Times New Roman" w:hAnsi="Times New Roman" w:cs="Times New Roman"/>
          <w:sz w:val="24"/>
          <w:szCs w:val="24"/>
        </w:rPr>
        <w:t>fare riferimento, a parte l’infelice giurisprudenza sul cosiddetto “minimo costituzionale”.</w:t>
      </w:r>
    </w:p>
    <w:p w:rsidR="00FB21CA" w:rsidRDefault="00FB21CA" w:rsidP="00B70003">
      <w:pPr>
        <w:spacing w:after="0"/>
        <w:ind w:firstLine="360"/>
        <w:jc w:val="both"/>
        <w:rPr>
          <w:rFonts w:ascii="Times New Roman" w:hAnsi="Times New Roman" w:cs="Times New Roman"/>
          <w:sz w:val="24"/>
          <w:szCs w:val="24"/>
        </w:rPr>
      </w:pPr>
    </w:p>
    <w:p w:rsidR="00A437E0" w:rsidRDefault="00565B42" w:rsidP="00565B42">
      <w:pPr>
        <w:pStyle w:val="Default"/>
        <w:ind w:firstLine="360"/>
        <w:jc w:val="both"/>
        <w:rPr>
          <w:rFonts w:ascii="Times New Roman" w:hAnsi="Times New Roman" w:cs="Times New Roman"/>
          <w:color w:val="454545"/>
        </w:rPr>
      </w:pPr>
      <w:r>
        <w:rPr>
          <w:rFonts w:ascii="Times New Roman" w:hAnsi="Times New Roman" w:cs="Times New Roman"/>
          <w:color w:val="454545"/>
        </w:rPr>
        <w:t>4</w:t>
      </w:r>
      <w:r w:rsidR="00051E4E">
        <w:rPr>
          <w:rFonts w:ascii="Times New Roman" w:hAnsi="Times New Roman" w:cs="Times New Roman"/>
          <w:color w:val="454545"/>
        </w:rPr>
        <w:t>. Per quanto riguarda il recepimento della Direttiva sul lavoro con le piattaforme, che richiederebbe un ragionamento piuttosto articolato e approfondito dal punto di vista tecnico, mi limito in questa sede a osservare che il cuore della d</w:t>
      </w:r>
      <w:r w:rsidR="00F11CFD">
        <w:rPr>
          <w:rFonts w:ascii="Times New Roman" w:hAnsi="Times New Roman" w:cs="Times New Roman"/>
          <w:color w:val="454545"/>
        </w:rPr>
        <w:t>irettiva tanto faticosamente ema</w:t>
      </w:r>
      <w:r w:rsidR="00051E4E">
        <w:rPr>
          <w:rFonts w:ascii="Times New Roman" w:hAnsi="Times New Roman" w:cs="Times New Roman"/>
          <w:color w:val="454545"/>
        </w:rPr>
        <w:t>nata dall’Unione Europea sta certamente nella previsione della presunzione di subordinazione</w:t>
      </w:r>
      <w:r w:rsidR="00A437E0">
        <w:rPr>
          <w:rFonts w:ascii="Times New Roman" w:hAnsi="Times New Roman" w:cs="Times New Roman"/>
          <w:color w:val="454545"/>
        </w:rPr>
        <w:t>.</w:t>
      </w:r>
    </w:p>
    <w:p w:rsidR="0082044F" w:rsidRDefault="00A437E0" w:rsidP="00A437E0">
      <w:pPr>
        <w:pStyle w:val="Default"/>
        <w:ind w:firstLine="360"/>
        <w:jc w:val="both"/>
        <w:rPr>
          <w:rFonts w:ascii="Times New Roman" w:hAnsi="Times New Roman" w:cs="Times New Roman"/>
          <w:color w:val="454545"/>
        </w:rPr>
      </w:pPr>
      <w:r>
        <w:rPr>
          <w:rFonts w:ascii="Times New Roman" w:hAnsi="Times New Roman" w:cs="Times New Roman"/>
          <w:color w:val="454545"/>
        </w:rPr>
        <w:t>Orbene, l’art. 5, par. 1, della Direttiva dispone che “</w:t>
      </w:r>
      <w:r w:rsidRPr="00A437E0">
        <w:rPr>
          <w:rFonts w:ascii="Times New Roman" w:hAnsi="Times New Roman" w:cs="Times New Roman"/>
          <w:color w:val="454545"/>
        </w:rPr>
        <w:t>Si presume che il rapporto contrattuale tra una piattaforma di lavoro digitale e una persona che svolge un lavoro</w:t>
      </w:r>
      <w:r>
        <w:rPr>
          <w:rFonts w:ascii="Times New Roman" w:hAnsi="Times New Roman" w:cs="Times New Roman"/>
          <w:color w:val="454545"/>
        </w:rPr>
        <w:t xml:space="preserve"> </w:t>
      </w:r>
      <w:r w:rsidRPr="00A437E0">
        <w:rPr>
          <w:rFonts w:ascii="Times New Roman" w:hAnsi="Times New Roman" w:cs="Times New Roman"/>
          <w:color w:val="454545"/>
        </w:rPr>
        <w:t>mediante tale piattaforma costituisca un rapporto di lavoro qualora si riscontrino fatti che indicano direzione e controllo,</w:t>
      </w:r>
      <w:r>
        <w:rPr>
          <w:rFonts w:ascii="Times New Roman" w:hAnsi="Times New Roman" w:cs="Times New Roman"/>
          <w:color w:val="454545"/>
        </w:rPr>
        <w:t xml:space="preserve"> </w:t>
      </w:r>
      <w:r w:rsidRPr="00A437E0">
        <w:rPr>
          <w:rFonts w:ascii="Times New Roman" w:hAnsi="Times New Roman" w:cs="Times New Roman"/>
          <w:color w:val="454545"/>
        </w:rPr>
        <w:t>conformemente al diritto nazionale, ai contratti collettivi o alle prassi in vigore negli Stati membri, tenendo conto della</w:t>
      </w:r>
      <w:r>
        <w:rPr>
          <w:rFonts w:ascii="Times New Roman" w:hAnsi="Times New Roman" w:cs="Times New Roman"/>
          <w:color w:val="454545"/>
        </w:rPr>
        <w:t xml:space="preserve"> </w:t>
      </w:r>
      <w:r w:rsidRPr="00A437E0">
        <w:rPr>
          <w:rFonts w:ascii="Times New Roman" w:hAnsi="Times New Roman" w:cs="Times New Roman"/>
          <w:color w:val="454545"/>
        </w:rPr>
        <w:t>giurisprudenza della Corte di giustizia</w:t>
      </w:r>
      <w:r>
        <w:rPr>
          <w:rFonts w:ascii="Times New Roman" w:hAnsi="Times New Roman" w:cs="Times New Roman"/>
          <w:color w:val="454545"/>
        </w:rPr>
        <w:t>”</w:t>
      </w:r>
      <w:r w:rsidRPr="00A437E0">
        <w:rPr>
          <w:rFonts w:ascii="Times New Roman" w:hAnsi="Times New Roman" w:cs="Times New Roman"/>
          <w:color w:val="454545"/>
        </w:rPr>
        <w:t>.</w:t>
      </w:r>
    </w:p>
    <w:p w:rsidR="00A437E0" w:rsidRDefault="00A437E0" w:rsidP="00A437E0">
      <w:pPr>
        <w:pStyle w:val="Default"/>
        <w:ind w:firstLine="360"/>
        <w:jc w:val="both"/>
        <w:rPr>
          <w:rFonts w:ascii="Times New Roman" w:hAnsi="Times New Roman" w:cs="Times New Roman"/>
          <w:color w:val="454545"/>
        </w:rPr>
      </w:pPr>
      <w:r>
        <w:rPr>
          <w:rFonts w:ascii="Times New Roman" w:hAnsi="Times New Roman" w:cs="Times New Roman"/>
          <w:color w:val="454545"/>
        </w:rPr>
        <w:t>Dubito si possa considerare conforme alla descrizione della fattispecie “fatti che indicano direzione e controllo […] tenendo conto della giurisprudenza della corte di giustizia”, la previsione dell’art. 12, co. 1, D.L. n. 62/2026.</w:t>
      </w:r>
    </w:p>
    <w:p w:rsidR="00A437E0" w:rsidRPr="002F18B6" w:rsidRDefault="00A437E0" w:rsidP="00A437E0">
      <w:pPr>
        <w:pStyle w:val="Default"/>
        <w:ind w:firstLine="360"/>
        <w:jc w:val="both"/>
        <w:rPr>
          <w:rFonts w:ascii="Times New Roman" w:hAnsi="Times New Roman" w:cs="Times New Roman"/>
          <w:color w:val="454545"/>
        </w:rPr>
      </w:pPr>
      <w:r>
        <w:rPr>
          <w:rFonts w:ascii="Times New Roman" w:hAnsi="Times New Roman" w:cs="Times New Roman"/>
          <w:color w:val="454545"/>
        </w:rPr>
        <w:t>Al pr</w:t>
      </w:r>
      <w:r w:rsidR="00DA0132">
        <w:rPr>
          <w:rFonts w:ascii="Times New Roman" w:hAnsi="Times New Roman" w:cs="Times New Roman"/>
          <w:color w:val="454545"/>
        </w:rPr>
        <w:t>i</w:t>
      </w:r>
      <w:r>
        <w:rPr>
          <w:rFonts w:ascii="Times New Roman" w:hAnsi="Times New Roman" w:cs="Times New Roman"/>
          <w:color w:val="454545"/>
        </w:rPr>
        <w:t xml:space="preserve">mo comma, l’art. 12 dispone che </w:t>
      </w:r>
      <w:r w:rsidR="00DA0132">
        <w:rPr>
          <w:rFonts w:ascii="Times New Roman" w:hAnsi="Times New Roman" w:cs="Times New Roman"/>
          <w:color w:val="454545"/>
        </w:rPr>
        <w:t xml:space="preserve">“ai fini della qualificazione del rapporto di lavoro mediante </w:t>
      </w:r>
      <w:r w:rsidR="00DA0132" w:rsidRPr="002F18B6">
        <w:rPr>
          <w:rFonts w:ascii="Times New Roman" w:hAnsi="Times New Roman" w:cs="Times New Roman"/>
          <w:color w:val="454545"/>
        </w:rPr>
        <w:t>piattaforma digitale rilevano le concrete mod</w:t>
      </w:r>
      <w:r w:rsidR="00A569C1" w:rsidRPr="002F18B6">
        <w:rPr>
          <w:rFonts w:ascii="Times New Roman" w:hAnsi="Times New Roman" w:cs="Times New Roman"/>
          <w:color w:val="454545"/>
        </w:rPr>
        <w:t>alità della prestazione,</w:t>
      </w:r>
      <w:r w:rsidR="00DA0132" w:rsidRPr="002F18B6">
        <w:rPr>
          <w:rFonts w:ascii="Times New Roman" w:hAnsi="Times New Roman" w:cs="Times New Roman"/>
          <w:color w:val="454545"/>
        </w:rPr>
        <w:t xml:space="preserve"> indipendentemente d</w:t>
      </w:r>
      <w:r w:rsidR="00A569C1" w:rsidRPr="002F18B6">
        <w:rPr>
          <w:rFonts w:ascii="Times New Roman" w:hAnsi="Times New Roman" w:cs="Times New Roman"/>
          <w:color w:val="454545"/>
        </w:rPr>
        <w:t>a</w:t>
      </w:r>
      <w:r w:rsidR="00DA0132" w:rsidRPr="002F18B6">
        <w:rPr>
          <w:rFonts w:ascii="Times New Roman" w:hAnsi="Times New Roman" w:cs="Times New Roman"/>
          <w:color w:val="454545"/>
        </w:rPr>
        <w:t>lla qualificazione formale attribuita dalle parti”: sin qui, occorre dire che si tratta di una disposizione del tutto inutile, giacché è principio pacifico in dottrina a e in giurisprudenza, almeno in Italia, la prevalenza ai fini qualificatori delle modalità della fase esecutiva della prestazione di lavoro sulla difforme volontà cartolare delle parti (da ultimo Cass., sez. lav., 30 luglio 2025, n. 21970).</w:t>
      </w:r>
    </w:p>
    <w:p w:rsidR="00DA0132" w:rsidRPr="002F18B6" w:rsidRDefault="00DA0132" w:rsidP="00A437E0">
      <w:pPr>
        <w:pStyle w:val="Default"/>
        <w:ind w:firstLine="360"/>
        <w:jc w:val="both"/>
        <w:rPr>
          <w:rStyle w:val="arttextincomma"/>
          <w:rFonts w:ascii="Times New Roman" w:hAnsi="Times New Roman" w:cs="Times New Roman"/>
        </w:rPr>
      </w:pPr>
      <w:r w:rsidRPr="002F18B6">
        <w:rPr>
          <w:rFonts w:ascii="Times New Roman" w:hAnsi="Times New Roman" w:cs="Times New Roman"/>
          <w:color w:val="454545"/>
        </w:rPr>
        <w:t>Al secondo comma, l’art. 12 indica che “</w:t>
      </w:r>
      <w:r w:rsidRPr="002F18B6">
        <w:rPr>
          <w:rStyle w:val="arttextincomma"/>
          <w:rFonts w:ascii="Times New Roman" w:hAnsi="Times New Roman" w:cs="Times New Roman"/>
        </w:rPr>
        <w:t>La qualificazione del rapporto tiene conto, tra l'altro, dell'esercizio, anche per il tramite di sistemi automatizzati o algoritmici, di poteri di organizzazione, direzione, controllo, valutazione, limitazione dell'accesso al lavoro o determinazione unilaterale del compenso</w:t>
      </w:r>
      <w:r w:rsidRPr="002F18B6">
        <w:rPr>
          <w:rStyle w:val="arttextincomma"/>
          <w:rFonts w:ascii="Times New Roman" w:hAnsi="Times New Roman" w:cs="Times New Roman"/>
        </w:rPr>
        <w:t>”: e anche e qui in nulla si innova rispetto a quanto ha detto in questi anni la giurisprudenza italiana, e non solo nei casi nei quali ai ciclofattorini, che nel nostro Paese son</w:t>
      </w:r>
      <w:r w:rsidR="000266BA" w:rsidRPr="002F18B6">
        <w:rPr>
          <w:rStyle w:val="arttextincomma"/>
          <w:rFonts w:ascii="Times New Roman" w:hAnsi="Times New Roman" w:cs="Times New Roman"/>
        </w:rPr>
        <w:t>o la forma più diffusa di lavor</w:t>
      </w:r>
      <w:r w:rsidRPr="002F18B6">
        <w:rPr>
          <w:rStyle w:val="arttextincomma"/>
          <w:rFonts w:ascii="Times New Roman" w:hAnsi="Times New Roman" w:cs="Times New Roman"/>
        </w:rPr>
        <w:t xml:space="preserve">o con le piattaforme digitali, sia stato riconosciuto, come sarebbe doveroso, la </w:t>
      </w:r>
      <w:r w:rsidR="000266BA" w:rsidRPr="002F18B6">
        <w:rPr>
          <w:rStyle w:val="arttextincomma"/>
          <w:rFonts w:ascii="Times New Roman" w:hAnsi="Times New Roman" w:cs="Times New Roman"/>
        </w:rPr>
        <w:t>subordinazi</w:t>
      </w:r>
      <w:r w:rsidRPr="002F18B6">
        <w:rPr>
          <w:rStyle w:val="arttextincomma"/>
          <w:rFonts w:ascii="Times New Roman" w:hAnsi="Times New Roman" w:cs="Times New Roman"/>
        </w:rPr>
        <w:t xml:space="preserve">one </w:t>
      </w:r>
      <w:r w:rsidRPr="002F18B6">
        <w:rPr>
          <w:rStyle w:val="arttextincomma"/>
          <w:rFonts w:ascii="Times New Roman" w:hAnsi="Times New Roman" w:cs="Times New Roman"/>
          <w:i/>
        </w:rPr>
        <w:t>ex</w:t>
      </w:r>
      <w:r w:rsidRPr="002F18B6">
        <w:rPr>
          <w:rStyle w:val="arttextincomma"/>
          <w:rFonts w:ascii="Times New Roman" w:hAnsi="Times New Roman" w:cs="Times New Roman"/>
        </w:rPr>
        <w:t xml:space="preserve"> art. 2094 c.c., ma anche nei casi nei quali ci si sia limitati a inquadrare la fattispecie </w:t>
      </w:r>
      <w:r w:rsidR="000266BA" w:rsidRPr="002F18B6">
        <w:rPr>
          <w:rStyle w:val="arttextincomma"/>
          <w:rFonts w:ascii="Times New Roman" w:hAnsi="Times New Roman" w:cs="Times New Roman"/>
        </w:rPr>
        <w:t>tra le collaborazioni</w:t>
      </w:r>
      <w:r w:rsidRPr="002F18B6">
        <w:rPr>
          <w:rStyle w:val="arttextincomma"/>
          <w:rFonts w:ascii="Times New Roman" w:hAnsi="Times New Roman" w:cs="Times New Roman"/>
        </w:rPr>
        <w:t xml:space="preserve"> etero</w:t>
      </w:r>
      <w:r w:rsidR="000266BA" w:rsidRPr="002F18B6">
        <w:rPr>
          <w:rStyle w:val="arttextincomma"/>
          <w:rFonts w:ascii="Times New Roman" w:hAnsi="Times New Roman" w:cs="Times New Roman"/>
        </w:rPr>
        <w:t>-or</w:t>
      </w:r>
      <w:r w:rsidRPr="002F18B6">
        <w:rPr>
          <w:rStyle w:val="arttextincomma"/>
          <w:rFonts w:ascii="Times New Roman" w:hAnsi="Times New Roman" w:cs="Times New Roman"/>
        </w:rPr>
        <w:t xml:space="preserve">ganizzate </w:t>
      </w:r>
      <w:r w:rsidRPr="002F18B6">
        <w:rPr>
          <w:rStyle w:val="arttextincomma"/>
          <w:rFonts w:ascii="Times New Roman" w:hAnsi="Times New Roman" w:cs="Times New Roman"/>
          <w:i/>
        </w:rPr>
        <w:t>ex</w:t>
      </w:r>
      <w:r w:rsidRPr="002F18B6">
        <w:rPr>
          <w:rStyle w:val="arttextincomma"/>
          <w:rFonts w:ascii="Times New Roman" w:hAnsi="Times New Roman" w:cs="Times New Roman"/>
        </w:rPr>
        <w:t xml:space="preserve"> art. 2, co. 1, </w:t>
      </w:r>
      <w:r w:rsidR="000266BA" w:rsidRPr="002F18B6">
        <w:rPr>
          <w:rStyle w:val="arttextincomma"/>
          <w:rFonts w:ascii="Times New Roman" w:hAnsi="Times New Roman" w:cs="Times New Roman"/>
        </w:rPr>
        <w:t>D.Lgs.</w:t>
      </w:r>
      <w:r w:rsidR="00622049" w:rsidRPr="002F18B6">
        <w:rPr>
          <w:rStyle w:val="arttextincomma"/>
          <w:rFonts w:ascii="Times New Roman" w:hAnsi="Times New Roman" w:cs="Times New Roman"/>
        </w:rPr>
        <w:t xml:space="preserve"> 15 giugno 2015, n. 81</w:t>
      </w:r>
      <w:r w:rsidR="000266BA" w:rsidRPr="002F18B6">
        <w:rPr>
          <w:rStyle w:val="arttextincomma"/>
          <w:rFonts w:ascii="Times New Roman" w:hAnsi="Times New Roman" w:cs="Times New Roman"/>
        </w:rPr>
        <w:t xml:space="preserve"> (Cass. 24 gennaio 2020, n. 1663), con l’effetto di applicare ugualmente la disciplina del lavoro subordinato.</w:t>
      </w:r>
    </w:p>
    <w:p w:rsidR="000266BA" w:rsidRPr="002F18B6" w:rsidRDefault="000266BA" w:rsidP="00A437E0">
      <w:pPr>
        <w:pStyle w:val="Default"/>
        <w:ind w:firstLine="360"/>
        <w:jc w:val="both"/>
        <w:rPr>
          <w:rStyle w:val="arttextincomma"/>
          <w:rFonts w:ascii="Times New Roman" w:hAnsi="Times New Roman" w:cs="Times New Roman"/>
          <w:color w:val="auto"/>
        </w:rPr>
      </w:pPr>
      <w:r w:rsidRPr="002F18B6">
        <w:rPr>
          <w:rStyle w:val="arttextincomma"/>
          <w:rFonts w:ascii="Times New Roman" w:hAnsi="Times New Roman" w:cs="Times New Roman"/>
          <w:color w:val="auto"/>
        </w:rPr>
        <w:t>Al terzo comma, infine, l’art. 12 prevede che “q</w:t>
      </w:r>
      <w:r w:rsidRPr="002F18B6">
        <w:rPr>
          <w:rStyle w:val="arttextincomma"/>
          <w:rFonts w:ascii="Times New Roman" w:hAnsi="Times New Roman" w:cs="Times New Roman"/>
          <w:color w:val="auto"/>
        </w:rPr>
        <w:t>uando emergono indici di controllo o di eterodirezione esercitati, anche mediante gestione algoritmica, il rapporto di lavoro si presume di natura subordinata, salvo prova contraria</w:t>
      </w:r>
      <w:r w:rsidRPr="002F18B6">
        <w:rPr>
          <w:rStyle w:val="arttextincomma"/>
          <w:rFonts w:ascii="Times New Roman" w:hAnsi="Times New Roman" w:cs="Times New Roman"/>
          <w:color w:val="auto"/>
        </w:rPr>
        <w:t>”:</w:t>
      </w:r>
      <w:r w:rsidR="00A569C1" w:rsidRPr="002F18B6">
        <w:rPr>
          <w:rStyle w:val="arttextincomma"/>
          <w:rFonts w:ascii="Times New Roman" w:hAnsi="Times New Roman" w:cs="Times New Roman"/>
          <w:color w:val="auto"/>
        </w:rPr>
        <w:t xml:space="preserve"> in questa formulazione</w:t>
      </w:r>
      <w:r w:rsidRPr="002F18B6">
        <w:rPr>
          <w:rStyle w:val="arttextincomma"/>
          <w:rFonts w:ascii="Times New Roman" w:hAnsi="Times New Roman" w:cs="Times New Roman"/>
          <w:color w:val="auto"/>
        </w:rPr>
        <w:t xml:space="preserve"> echeggia la previsione della Direttiva,</w:t>
      </w:r>
      <w:r w:rsidR="00A569C1" w:rsidRPr="002F18B6">
        <w:rPr>
          <w:rStyle w:val="arttextincomma"/>
          <w:rFonts w:ascii="Times New Roman" w:hAnsi="Times New Roman" w:cs="Times New Roman"/>
          <w:color w:val="auto"/>
        </w:rPr>
        <w:t xml:space="preserve"> ma della fonte sovranazionale (vincolante per il legislatore interno)</w:t>
      </w:r>
      <w:r w:rsidRPr="002F18B6">
        <w:rPr>
          <w:rStyle w:val="arttextincomma"/>
          <w:rFonts w:ascii="Times New Roman" w:hAnsi="Times New Roman" w:cs="Times New Roman"/>
          <w:color w:val="auto"/>
        </w:rPr>
        <w:t xml:space="preserve"> non</w:t>
      </w:r>
      <w:r w:rsidR="00A569C1" w:rsidRPr="002F18B6">
        <w:rPr>
          <w:rStyle w:val="arttextincomma"/>
          <w:rFonts w:ascii="Times New Roman" w:hAnsi="Times New Roman" w:cs="Times New Roman"/>
          <w:color w:val="auto"/>
        </w:rPr>
        <w:t xml:space="preserve"> si</w:t>
      </w:r>
      <w:r w:rsidRPr="002F18B6">
        <w:rPr>
          <w:rStyle w:val="arttextincomma"/>
          <w:rFonts w:ascii="Times New Roman" w:hAnsi="Times New Roman" w:cs="Times New Roman"/>
          <w:color w:val="auto"/>
        </w:rPr>
        <w:t xml:space="preserve"> tiene in alcun conto </w:t>
      </w:r>
      <w:r w:rsidR="00A569C1" w:rsidRPr="002F18B6">
        <w:rPr>
          <w:rStyle w:val="arttextincomma"/>
          <w:rFonts w:ascii="Times New Roman" w:hAnsi="Times New Roman" w:cs="Times New Roman"/>
          <w:color w:val="auto"/>
        </w:rPr>
        <w:t>del</w:t>
      </w:r>
      <w:r w:rsidRPr="002F18B6">
        <w:rPr>
          <w:rStyle w:val="arttextincomma"/>
          <w:rFonts w:ascii="Times New Roman" w:hAnsi="Times New Roman" w:cs="Times New Roman"/>
          <w:color w:val="auto"/>
        </w:rPr>
        <w:t>l’inciso “</w:t>
      </w:r>
      <w:r w:rsidR="00622049" w:rsidRPr="002F18B6">
        <w:rPr>
          <w:rStyle w:val="arttextincomma"/>
          <w:rFonts w:ascii="Times New Roman" w:hAnsi="Times New Roman" w:cs="Times New Roman"/>
          <w:color w:val="auto"/>
        </w:rPr>
        <w:t>conformemente al</w:t>
      </w:r>
      <w:r w:rsidRPr="002F18B6">
        <w:rPr>
          <w:rStyle w:val="arttextincomma"/>
          <w:rFonts w:ascii="Times New Roman" w:hAnsi="Times New Roman" w:cs="Times New Roman"/>
          <w:color w:val="auto"/>
        </w:rPr>
        <w:t xml:space="preserve"> diritto nazionale”</w:t>
      </w:r>
      <w:r w:rsidR="00A569C1" w:rsidRPr="002F18B6">
        <w:rPr>
          <w:rStyle w:val="arttextincomma"/>
          <w:rFonts w:ascii="Times New Roman" w:hAnsi="Times New Roman" w:cs="Times New Roman"/>
          <w:color w:val="auto"/>
        </w:rPr>
        <w:t>, nel quale, però</w:t>
      </w:r>
      <w:r w:rsidR="004834C3" w:rsidRPr="002F18B6">
        <w:rPr>
          <w:rStyle w:val="arttextincomma"/>
          <w:rFonts w:ascii="Times New Roman" w:hAnsi="Times New Roman" w:cs="Times New Roman"/>
          <w:strike/>
          <w:color w:val="auto"/>
        </w:rPr>
        <w:t>,</w:t>
      </w:r>
      <w:r w:rsidRPr="002F18B6">
        <w:rPr>
          <w:rStyle w:val="arttextincomma"/>
          <w:rFonts w:ascii="Times New Roman" w:hAnsi="Times New Roman" w:cs="Times New Roman"/>
          <w:color w:val="auto"/>
        </w:rPr>
        <w:t xml:space="preserve"> si tratta di collaborazioni etero-organizzate – con conseguente applicazione della disciplina del lavoro subordinato – </w:t>
      </w:r>
      <w:r w:rsidR="00A569C1" w:rsidRPr="002F18B6">
        <w:rPr>
          <w:rStyle w:val="arttextincomma"/>
          <w:rFonts w:ascii="Times New Roman" w:hAnsi="Times New Roman" w:cs="Times New Roman"/>
          <w:color w:val="auto"/>
        </w:rPr>
        <w:t>qualora sussista anche sol</w:t>
      </w:r>
      <w:r w:rsidR="004834C3" w:rsidRPr="002F18B6">
        <w:rPr>
          <w:rStyle w:val="arttextincomma"/>
          <w:rFonts w:ascii="Times New Roman" w:hAnsi="Times New Roman" w:cs="Times New Roman"/>
          <w:color w:val="auto"/>
        </w:rPr>
        <w:t>tant</w:t>
      </w:r>
      <w:r w:rsidR="00A569C1" w:rsidRPr="002F18B6">
        <w:rPr>
          <w:rStyle w:val="arttextincomma"/>
          <w:rFonts w:ascii="Times New Roman" w:hAnsi="Times New Roman" w:cs="Times New Roman"/>
          <w:color w:val="auto"/>
        </w:rPr>
        <w:t xml:space="preserve">o la circostanza che </w:t>
      </w:r>
      <w:r w:rsidRPr="002F18B6">
        <w:rPr>
          <w:rStyle w:val="arttextincomma"/>
          <w:rFonts w:ascii="Times New Roman" w:hAnsi="Times New Roman" w:cs="Times New Roman"/>
          <w:color w:val="auto"/>
        </w:rPr>
        <w:t xml:space="preserve">“modalità di esecuzione sono organizzate dal committente” (art. 2, co. 1, D.Lgs. 81/2015). </w:t>
      </w:r>
    </w:p>
    <w:p w:rsidR="000266BA" w:rsidRPr="00A437E0" w:rsidRDefault="000266BA" w:rsidP="00A437E0">
      <w:pPr>
        <w:pStyle w:val="Default"/>
        <w:ind w:firstLine="360"/>
        <w:jc w:val="both"/>
        <w:rPr>
          <w:rFonts w:ascii="Times New Roman" w:hAnsi="Times New Roman" w:cs="Times New Roman"/>
          <w:color w:val="454545"/>
        </w:rPr>
      </w:pPr>
      <w:r w:rsidRPr="002F18B6">
        <w:rPr>
          <w:rStyle w:val="arttextincomma"/>
          <w:rFonts w:ascii="Times New Roman" w:hAnsi="Times New Roman" w:cs="Times New Roman"/>
        </w:rPr>
        <w:t>Quindi, paradossalmente e contro il significato sistematico della Direttiva</w:t>
      </w:r>
      <w:r w:rsidR="00622049" w:rsidRPr="002F18B6">
        <w:rPr>
          <w:rStyle w:val="arttextincomma"/>
          <w:rFonts w:ascii="Times New Roman" w:hAnsi="Times New Roman" w:cs="Times New Roman"/>
        </w:rPr>
        <w:t xml:space="preserve"> che è inequivocabilmente di facilitare l’applicazione della disciplina del lavoro subordinato</w:t>
      </w:r>
      <w:r w:rsidRPr="002F18B6">
        <w:rPr>
          <w:rStyle w:val="arttextincomma"/>
          <w:rFonts w:ascii="Times New Roman" w:hAnsi="Times New Roman" w:cs="Times New Roman"/>
        </w:rPr>
        <w:t xml:space="preserve">, il lavoratore con piattaforme digitali avrà più facilità a ottenere l’applicazione della disciplina del lavoro subordinato se dimostra </w:t>
      </w:r>
      <w:r w:rsidR="00622049" w:rsidRPr="002F18B6">
        <w:rPr>
          <w:rStyle w:val="arttextincomma"/>
          <w:rFonts w:ascii="Times New Roman" w:hAnsi="Times New Roman" w:cs="Times New Roman"/>
        </w:rPr>
        <w:t xml:space="preserve">(soltanto) </w:t>
      </w:r>
      <w:r w:rsidRPr="002F18B6">
        <w:rPr>
          <w:rStyle w:val="arttextincomma"/>
          <w:rFonts w:ascii="Times New Roman" w:hAnsi="Times New Roman" w:cs="Times New Roman"/>
        </w:rPr>
        <w:t xml:space="preserve">l’etero-organizzazione ai sensi del diritto nazionale già vigente che dovendo provare, per ottenere la presunzione </w:t>
      </w:r>
      <w:r w:rsidR="0002173E" w:rsidRPr="002F18B6">
        <w:rPr>
          <w:rStyle w:val="arttextincomma"/>
          <w:rFonts w:ascii="Times New Roman" w:hAnsi="Times New Roman" w:cs="Times New Roman"/>
        </w:rPr>
        <w:t xml:space="preserve">di subordinazione </w:t>
      </w:r>
      <w:r w:rsidR="00622049" w:rsidRPr="002F18B6">
        <w:rPr>
          <w:rStyle w:val="arttextincomma"/>
          <w:rFonts w:ascii="Times New Roman" w:hAnsi="Times New Roman" w:cs="Times New Roman"/>
        </w:rPr>
        <w:t>(sempre contest</w:t>
      </w:r>
      <w:r w:rsidR="0002173E" w:rsidRPr="002F18B6">
        <w:rPr>
          <w:rStyle w:val="arttextincomma"/>
          <w:rFonts w:ascii="Times New Roman" w:hAnsi="Times New Roman" w:cs="Times New Roman"/>
        </w:rPr>
        <w:t>abile in giudizio da parte della piattaform</w:t>
      </w:r>
      <w:r w:rsidR="00622049" w:rsidRPr="002F18B6">
        <w:rPr>
          <w:rStyle w:val="arttextincomma"/>
          <w:rFonts w:ascii="Times New Roman" w:hAnsi="Times New Roman" w:cs="Times New Roman"/>
        </w:rPr>
        <w:t>a</w:t>
      </w:r>
      <w:r w:rsidR="0002173E" w:rsidRPr="002F18B6">
        <w:rPr>
          <w:rStyle w:val="arttextincomma"/>
          <w:rFonts w:ascii="Times New Roman" w:hAnsi="Times New Roman" w:cs="Times New Roman"/>
        </w:rPr>
        <w:t>)</w:t>
      </w:r>
      <w:r w:rsidR="00622049" w:rsidRPr="002F18B6">
        <w:rPr>
          <w:rStyle w:val="arttextincomma"/>
          <w:rFonts w:ascii="Times New Roman" w:hAnsi="Times New Roman" w:cs="Times New Roman"/>
        </w:rPr>
        <w:t xml:space="preserve"> </w:t>
      </w:r>
      <w:r w:rsidRPr="002F18B6">
        <w:rPr>
          <w:rStyle w:val="arttextincomma"/>
          <w:rFonts w:ascii="Times New Roman" w:hAnsi="Times New Roman" w:cs="Times New Roman"/>
        </w:rPr>
        <w:t xml:space="preserve">prevista dalla Direttiva, </w:t>
      </w:r>
      <w:r w:rsidR="00622049" w:rsidRPr="002F18B6">
        <w:rPr>
          <w:rStyle w:val="arttextincomma"/>
          <w:rFonts w:ascii="Times New Roman" w:hAnsi="Times New Roman" w:cs="Times New Roman"/>
        </w:rPr>
        <w:t xml:space="preserve">quelli </w:t>
      </w:r>
      <w:r w:rsidR="00622049" w:rsidRPr="002F18B6">
        <w:rPr>
          <w:rStyle w:val="arttextincomma"/>
          <w:rFonts w:ascii="Times New Roman" w:hAnsi="Times New Roman" w:cs="Times New Roman"/>
          <w:color w:val="auto"/>
        </w:rPr>
        <w:t>che</w:t>
      </w:r>
      <w:r w:rsidR="00622049" w:rsidRPr="002F18B6">
        <w:rPr>
          <w:rStyle w:val="arttextincomma"/>
          <w:rFonts w:ascii="Times New Roman" w:hAnsi="Times New Roman" w:cs="Times New Roman"/>
        </w:rPr>
        <w:t xml:space="preserve"> il Decreto-legge chiama “indici di controllo o di subordinazione”.</w:t>
      </w:r>
    </w:p>
    <w:sectPr w:rsidR="000266BA" w:rsidRPr="00A437E0">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9EF" w:rsidRDefault="001A69EF" w:rsidP="004834C3">
      <w:pPr>
        <w:spacing w:after="0" w:line="240" w:lineRule="auto"/>
      </w:pPr>
      <w:r>
        <w:separator/>
      </w:r>
    </w:p>
  </w:endnote>
  <w:endnote w:type="continuationSeparator" w:id="0">
    <w:p w:rsidR="001A69EF" w:rsidRDefault="001A69EF" w:rsidP="00483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1002AFF" w:usb1="4000ACF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4001391"/>
      <w:docPartObj>
        <w:docPartGallery w:val="Page Numbers (Bottom of Page)"/>
        <w:docPartUnique/>
      </w:docPartObj>
    </w:sdtPr>
    <w:sdtEndPr>
      <w:rPr>
        <w:rFonts w:ascii="Times New Roman" w:hAnsi="Times New Roman" w:cs="Times New Roman"/>
        <w:sz w:val="24"/>
        <w:szCs w:val="24"/>
      </w:rPr>
    </w:sdtEndPr>
    <w:sdtContent>
      <w:p w:rsidR="004834C3" w:rsidRPr="004834C3" w:rsidRDefault="004834C3">
        <w:pPr>
          <w:pStyle w:val="Pidipagina"/>
          <w:jc w:val="center"/>
          <w:rPr>
            <w:rFonts w:ascii="Times New Roman" w:hAnsi="Times New Roman" w:cs="Times New Roman"/>
            <w:sz w:val="24"/>
            <w:szCs w:val="24"/>
          </w:rPr>
        </w:pPr>
        <w:r w:rsidRPr="004834C3">
          <w:rPr>
            <w:rFonts w:ascii="Times New Roman" w:hAnsi="Times New Roman" w:cs="Times New Roman"/>
            <w:sz w:val="24"/>
            <w:szCs w:val="24"/>
          </w:rPr>
          <w:fldChar w:fldCharType="begin"/>
        </w:r>
        <w:r w:rsidRPr="004834C3">
          <w:rPr>
            <w:rFonts w:ascii="Times New Roman" w:hAnsi="Times New Roman" w:cs="Times New Roman"/>
            <w:sz w:val="24"/>
            <w:szCs w:val="24"/>
          </w:rPr>
          <w:instrText>PAGE   \* MERGEFORMAT</w:instrText>
        </w:r>
        <w:r w:rsidRPr="004834C3">
          <w:rPr>
            <w:rFonts w:ascii="Times New Roman" w:hAnsi="Times New Roman" w:cs="Times New Roman"/>
            <w:sz w:val="24"/>
            <w:szCs w:val="24"/>
          </w:rPr>
          <w:fldChar w:fldCharType="separate"/>
        </w:r>
        <w:r w:rsidR="001A69EF">
          <w:rPr>
            <w:rFonts w:ascii="Times New Roman" w:hAnsi="Times New Roman" w:cs="Times New Roman"/>
            <w:noProof/>
            <w:sz w:val="24"/>
            <w:szCs w:val="24"/>
          </w:rPr>
          <w:t>1</w:t>
        </w:r>
        <w:r w:rsidRPr="004834C3">
          <w:rPr>
            <w:rFonts w:ascii="Times New Roman" w:hAnsi="Times New Roman" w:cs="Times New Roman"/>
            <w:sz w:val="24"/>
            <w:szCs w:val="24"/>
          </w:rPr>
          <w:fldChar w:fldCharType="end"/>
        </w:r>
      </w:p>
    </w:sdtContent>
  </w:sdt>
  <w:p w:rsidR="004834C3" w:rsidRDefault="004834C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9EF" w:rsidRDefault="001A69EF" w:rsidP="004834C3">
      <w:pPr>
        <w:spacing w:after="0" w:line="240" w:lineRule="auto"/>
      </w:pPr>
      <w:r>
        <w:separator/>
      </w:r>
    </w:p>
  </w:footnote>
  <w:footnote w:type="continuationSeparator" w:id="0">
    <w:p w:rsidR="001A69EF" w:rsidRDefault="001A69EF" w:rsidP="004834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A4288"/>
    <w:multiLevelType w:val="hybridMultilevel"/>
    <w:tmpl w:val="4A68D5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visionView w:insDel="0" w:formatting="0" w:inkAnnotations="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640"/>
    <w:rsid w:val="0002173E"/>
    <w:rsid w:val="000266BA"/>
    <w:rsid w:val="00051E4E"/>
    <w:rsid w:val="00103521"/>
    <w:rsid w:val="001A69EF"/>
    <w:rsid w:val="001E1460"/>
    <w:rsid w:val="002F18B6"/>
    <w:rsid w:val="00374EB0"/>
    <w:rsid w:val="004311DD"/>
    <w:rsid w:val="00447BD0"/>
    <w:rsid w:val="004834C3"/>
    <w:rsid w:val="00565B42"/>
    <w:rsid w:val="00622049"/>
    <w:rsid w:val="007B1B82"/>
    <w:rsid w:val="007D4BFF"/>
    <w:rsid w:val="007F6CB1"/>
    <w:rsid w:val="0082044F"/>
    <w:rsid w:val="00820CBF"/>
    <w:rsid w:val="00841E40"/>
    <w:rsid w:val="00842640"/>
    <w:rsid w:val="00A437E0"/>
    <w:rsid w:val="00A569C1"/>
    <w:rsid w:val="00AA28ED"/>
    <w:rsid w:val="00B70003"/>
    <w:rsid w:val="00BD66DD"/>
    <w:rsid w:val="00CC0CE5"/>
    <w:rsid w:val="00DA0132"/>
    <w:rsid w:val="00E056DD"/>
    <w:rsid w:val="00F11CFD"/>
    <w:rsid w:val="00FB21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BB0A5"/>
  <w15:chartTrackingRefBased/>
  <w15:docId w15:val="{FA3F152E-A280-4D18-AAEF-FED0BB70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47BD0"/>
    <w:pPr>
      <w:ind w:left="720"/>
      <w:contextualSpacing/>
    </w:pPr>
  </w:style>
  <w:style w:type="paragraph" w:customStyle="1" w:styleId="Default">
    <w:name w:val="Default"/>
    <w:rsid w:val="007F6CB1"/>
    <w:pPr>
      <w:autoSpaceDE w:val="0"/>
      <w:autoSpaceDN w:val="0"/>
      <w:adjustRightInd w:val="0"/>
      <w:spacing w:after="0" w:line="240" w:lineRule="auto"/>
    </w:pPr>
    <w:rPr>
      <w:rFonts w:ascii="Garamond" w:hAnsi="Garamond" w:cs="Garamond"/>
      <w:color w:val="000000"/>
      <w:sz w:val="24"/>
      <w:szCs w:val="24"/>
    </w:rPr>
  </w:style>
  <w:style w:type="paragraph" w:styleId="Testofumetto">
    <w:name w:val="Balloon Text"/>
    <w:basedOn w:val="Normale"/>
    <w:link w:val="TestofumettoCarattere"/>
    <w:uiPriority w:val="99"/>
    <w:semiHidden/>
    <w:unhideWhenUsed/>
    <w:rsid w:val="00A437E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437E0"/>
    <w:rPr>
      <w:rFonts w:ascii="Segoe UI" w:hAnsi="Segoe UI" w:cs="Segoe UI"/>
      <w:sz w:val="18"/>
      <w:szCs w:val="18"/>
    </w:rPr>
  </w:style>
  <w:style w:type="character" w:customStyle="1" w:styleId="arttextincomma">
    <w:name w:val="art_text_in_comma"/>
    <w:basedOn w:val="Carpredefinitoparagrafo"/>
    <w:rsid w:val="00DA0132"/>
  </w:style>
  <w:style w:type="paragraph" w:styleId="Intestazione">
    <w:name w:val="header"/>
    <w:basedOn w:val="Normale"/>
    <w:link w:val="IntestazioneCarattere"/>
    <w:uiPriority w:val="99"/>
    <w:unhideWhenUsed/>
    <w:rsid w:val="004834C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34C3"/>
  </w:style>
  <w:style w:type="paragraph" w:styleId="Pidipagina">
    <w:name w:val="footer"/>
    <w:basedOn w:val="Normale"/>
    <w:link w:val="PidipaginaCarattere"/>
    <w:uiPriority w:val="99"/>
    <w:unhideWhenUsed/>
    <w:rsid w:val="004834C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3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09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CF133-AF59-411E-BD9F-673EBBD3D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4</Pages>
  <Words>2284</Words>
  <Characters>13024</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9</cp:revision>
  <cp:lastPrinted>2026-05-13T13:00:00Z</cp:lastPrinted>
  <dcterms:created xsi:type="dcterms:W3CDTF">2026-05-13T03:19:00Z</dcterms:created>
  <dcterms:modified xsi:type="dcterms:W3CDTF">2026-05-13T13:19:00Z</dcterms:modified>
</cp:coreProperties>
</file>