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  <Override PartName="/word/charts/colors6.xml" ContentType="application/vnd.ms-office.chartcolorstyle+xml"/>
  <Override PartName="/word/charts/style6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4D" w:rsidRDefault="0076204D" w:rsidP="0076204D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BC81676" wp14:editId="4612B7B6">
            <wp:extent cx="198120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04D" w:rsidRP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Pr="0076204D" w:rsidRDefault="0076204D" w:rsidP="0076204D">
      <w:pPr>
        <w:jc w:val="center"/>
        <w:rPr>
          <w:b/>
          <w:bCs/>
        </w:rPr>
      </w:pPr>
    </w:p>
    <w:p w:rsidR="0076204D" w:rsidRPr="0076204D" w:rsidRDefault="0076204D" w:rsidP="0076204D">
      <w:pPr>
        <w:jc w:val="center"/>
        <w:rPr>
          <w:b/>
          <w:bCs/>
          <w:sz w:val="28"/>
        </w:rPr>
      </w:pPr>
      <w:r w:rsidRPr="0076204D">
        <w:rPr>
          <w:b/>
          <w:bCs/>
          <w:sz w:val="28"/>
        </w:rPr>
        <w:t xml:space="preserve">Audizione informale </w:t>
      </w:r>
      <w:r w:rsidRPr="0076204D">
        <w:rPr>
          <w:b/>
          <w:bCs/>
          <w:sz w:val="28"/>
        </w:rPr>
        <w:br/>
        <w:t xml:space="preserve">sull’atto del Governo n. 39 “Schema del </w:t>
      </w:r>
      <w:r w:rsidRPr="0076204D">
        <w:rPr>
          <w:b/>
          <w:bCs/>
          <w:sz w:val="28"/>
        </w:rPr>
        <w:br/>
        <w:t>Piano Strategico di Sviluppo del Turismo 2023-2027”</w:t>
      </w:r>
    </w:p>
    <w:p w:rsidR="0076204D" w:rsidRPr="0076204D" w:rsidRDefault="0076204D" w:rsidP="0076204D">
      <w:pPr>
        <w:jc w:val="center"/>
        <w:rPr>
          <w:b/>
          <w:bCs/>
        </w:rPr>
      </w:pPr>
    </w:p>
    <w:p w:rsidR="0076204D" w:rsidRPr="0076204D" w:rsidRDefault="0076204D" w:rsidP="0076204D">
      <w:pPr>
        <w:jc w:val="center"/>
        <w:rPr>
          <w:b/>
          <w:bCs/>
          <w:sz w:val="28"/>
        </w:rPr>
      </w:pPr>
      <w:r w:rsidRPr="0076204D">
        <w:rPr>
          <w:b/>
          <w:bCs/>
          <w:sz w:val="28"/>
        </w:rPr>
        <w:t>Giuseppe Roma</w:t>
      </w:r>
      <w:r w:rsidRPr="0076204D">
        <w:rPr>
          <w:b/>
          <w:bCs/>
          <w:sz w:val="28"/>
        </w:rPr>
        <w:br/>
        <w:t>Vice Presidente Touring Club Italiano</w:t>
      </w:r>
    </w:p>
    <w:p w:rsidR="0076204D" w:rsidRPr="0076204D" w:rsidRDefault="0076204D" w:rsidP="0076204D">
      <w:pPr>
        <w:jc w:val="center"/>
        <w:rPr>
          <w:b/>
          <w:bCs/>
        </w:rPr>
      </w:pPr>
    </w:p>
    <w:p w:rsidR="0076204D" w:rsidRPr="0076204D" w:rsidRDefault="0076204D" w:rsidP="0076204D">
      <w:pPr>
        <w:jc w:val="center"/>
        <w:rPr>
          <w:b/>
          <w:bCs/>
        </w:rPr>
      </w:pPr>
    </w:p>
    <w:p w:rsidR="0076204D" w:rsidRP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Default="0076204D" w:rsidP="0076204D">
      <w:pPr>
        <w:jc w:val="center"/>
        <w:rPr>
          <w:b/>
          <w:bCs/>
        </w:rPr>
      </w:pPr>
    </w:p>
    <w:p w:rsidR="0076204D" w:rsidRPr="0076204D" w:rsidRDefault="0076204D" w:rsidP="0076204D">
      <w:pPr>
        <w:jc w:val="center"/>
        <w:rPr>
          <w:b/>
          <w:bCs/>
          <w:sz w:val="24"/>
        </w:rPr>
      </w:pPr>
      <w:r w:rsidRPr="0076204D">
        <w:rPr>
          <w:b/>
          <w:bCs/>
          <w:sz w:val="24"/>
        </w:rPr>
        <w:t>Camera dei Deputati</w:t>
      </w:r>
    </w:p>
    <w:p w:rsidR="0076204D" w:rsidRPr="0076204D" w:rsidRDefault="00AA5240" w:rsidP="0076204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X </w:t>
      </w:r>
      <w:r w:rsidR="0076204D" w:rsidRPr="0076204D">
        <w:rPr>
          <w:b/>
          <w:bCs/>
          <w:sz w:val="24"/>
        </w:rPr>
        <w:t>Commissione Attività Produttive, Commercio e Turismo</w:t>
      </w:r>
    </w:p>
    <w:p w:rsidR="0076204D" w:rsidRPr="0076204D" w:rsidRDefault="0076204D" w:rsidP="0076204D">
      <w:pPr>
        <w:jc w:val="center"/>
        <w:rPr>
          <w:b/>
          <w:bCs/>
          <w:sz w:val="24"/>
        </w:rPr>
      </w:pPr>
    </w:p>
    <w:p w:rsidR="0076204D" w:rsidRPr="0076204D" w:rsidRDefault="0076204D" w:rsidP="0076204D">
      <w:pPr>
        <w:jc w:val="center"/>
        <w:rPr>
          <w:b/>
          <w:bCs/>
          <w:sz w:val="24"/>
        </w:rPr>
      </w:pPr>
      <w:r w:rsidRPr="0076204D">
        <w:rPr>
          <w:b/>
          <w:bCs/>
          <w:sz w:val="24"/>
        </w:rPr>
        <w:t>Roma, 9 maggio 2023</w:t>
      </w:r>
    </w:p>
    <w:p w:rsidR="0076204D" w:rsidRDefault="0076204D"/>
    <w:p w:rsidR="0076204D" w:rsidRDefault="0076204D">
      <w:pPr>
        <w:sectPr w:rsidR="0076204D" w:rsidSect="00EA3839">
          <w:footerReference w:type="default" r:id="rId8"/>
          <w:pgSz w:w="11906" w:h="16838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6204D" w:rsidRDefault="003F2EA8" w:rsidP="003974AE">
      <w:pPr>
        <w:spacing w:before="240" w:after="360" w:line="240" w:lineRule="auto"/>
        <w:ind w:left="567" w:hanging="567"/>
        <w:rPr>
          <w:b/>
          <w:bCs/>
          <w:sz w:val="32"/>
        </w:rPr>
      </w:pPr>
      <w:r>
        <w:rPr>
          <w:b/>
          <w:bCs/>
          <w:sz w:val="32"/>
        </w:rPr>
        <w:lastRenderedPageBreak/>
        <w:t>1.</w:t>
      </w:r>
      <w:r>
        <w:rPr>
          <w:b/>
          <w:bCs/>
          <w:sz w:val="32"/>
        </w:rPr>
        <w:tab/>
        <w:t>Un Piano di ampia portata</w:t>
      </w:r>
    </w:p>
    <w:p w:rsidR="003974AE" w:rsidRDefault="003974AE" w:rsidP="003974AE">
      <w:pPr>
        <w:spacing w:before="120" w:after="120" w:line="240" w:lineRule="auto"/>
        <w:jc w:val="both"/>
      </w:pPr>
      <w:r>
        <w:t>Il Piano Strategico</w:t>
      </w:r>
      <w:r w:rsidR="00ED2C42">
        <w:t xml:space="preserve"> di Sviluppo</w:t>
      </w:r>
      <w:r>
        <w:t xml:space="preserve"> del Turismo</w:t>
      </w:r>
      <w:r w:rsidR="00AA5240">
        <w:t>,</w:t>
      </w:r>
      <w:r>
        <w:t xml:space="preserve"> sottoposto al parere parlamentare</w:t>
      </w:r>
      <w:r w:rsidR="00AA5240">
        <w:t>,</w:t>
      </w:r>
      <w:r>
        <w:t xml:space="preserve"> riesamina in modo approfondito le diverse problematiche di un settore </w:t>
      </w:r>
      <w:r w:rsidR="003E7EF8">
        <w:t>decisivo</w:t>
      </w:r>
      <w:r>
        <w:t xml:space="preserve"> per il nostro Paese.</w:t>
      </w:r>
    </w:p>
    <w:p w:rsidR="003F2EA8" w:rsidRDefault="003974AE" w:rsidP="003974AE">
      <w:pPr>
        <w:spacing w:before="120" w:after="120" w:line="240" w:lineRule="auto"/>
        <w:jc w:val="both"/>
      </w:pPr>
      <w:r>
        <w:t xml:space="preserve">Il suo significato va colto soprattutto nella necessità di dare </w:t>
      </w:r>
      <w:r w:rsidRPr="00AA5240">
        <w:rPr>
          <w:b/>
          <w:bCs/>
        </w:rPr>
        <w:t>indicazioni</w:t>
      </w:r>
      <w:r w:rsidR="00F96D61" w:rsidRPr="00AA5240">
        <w:rPr>
          <w:b/>
          <w:bCs/>
        </w:rPr>
        <w:t xml:space="preserve"> strategiche ad un settore </w:t>
      </w:r>
      <w:r w:rsidR="004A3ADC">
        <w:rPr>
          <w:b/>
          <w:bCs/>
        </w:rPr>
        <w:t xml:space="preserve">come il turismo </w:t>
      </w:r>
      <w:r w:rsidR="00F96D61" w:rsidRPr="00AA5240">
        <w:rPr>
          <w:b/>
          <w:bCs/>
        </w:rPr>
        <w:t>particolarmente frammentato</w:t>
      </w:r>
      <w:r w:rsidR="00F96D61">
        <w:t xml:space="preserve"> per la pluralità di operatori attivi e una governance basata su poteri molto distribuit</w:t>
      </w:r>
      <w:r w:rsidR="00AA5240">
        <w:t xml:space="preserve">i, </w:t>
      </w:r>
      <w:r w:rsidR="00F96D61">
        <w:t>con competenza primaria regionale.</w:t>
      </w:r>
    </w:p>
    <w:p w:rsidR="00F96D61" w:rsidRDefault="00F96D61" w:rsidP="003974AE">
      <w:pPr>
        <w:spacing w:before="120" w:after="120" w:line="240" w:lineRule="auto"/>
        <w:jc w:val="both"/>
      </w:pPr>
      <w:r>
        <w:t xml:space="preserve">E’ quindi necessario individuare alcuni </w:t>
      </w:r>
      <w:r w:rsidRPr="00AA5240">
        <w:rPr>
          <w:b/>
          <w:bCs/>
        </w:rPr>
        <w:t>focus prioritari</w:t>
      </w:r>
      <w:r>
        <w:t xml:space="preserve"> in modo che il Piano sia effettivamente uno strumento utile ad orientare le azioni dei tanti soggetti coinvolti.</w:t>
      </w:r>
    </w:p>
    <w:p w:rsidR="00F96D61" w:rsidRPr="003974AE" w:rsidRDefault="00F96D61" w:rsidP="003974AE">
      <w:pPr>
        <w:spacing w:before="120" w:after="120" w:line="240" w:lineRule="auto"/>
        <w:jc w:val="both"/>
      </w:pPr>
      <w:r>
        <w:t>Bisogna considerare che</w:t>
      </w:r>
      <w:r w:rsidR="00AA5240">
        <w:t>,</w:t>
      </w:r>
      <w:r>
        <w:t xml:space="preserve"> sulla base della documentazione predisposta da</w:t>
      </w:r>
      <w:r w:rsidR="00AA5240">
        <w:t>i</w:t>
      </w:r>
      <w:r>
        <w:t xml:space="preserve"> </w:t>
      </w:r>
      <w:r w:rsidR="00AA5240">
        <w:t>S</w:t>
      </w:r>
      <w:r>
        <w:t xml:space="preserve">ervizio </w:t>
      </w:r>
      <w:r w:rsidR="00AA5240">
        <w:t>S</w:t>
      </w:r>
      <w:r>
        <w:t xml:space="preserve">tudi di Camera e Senato, il </w:t>
      </w:r>
      <w:r w:rsidRPr="00AA5240">
        <w:rPr>
          <w:b/>
          <w:bCs/>
        </w:rPr>
        <w:t>Piano comporterebbe 247 azioni</w:t>
      </w:r>
      <w:r>
        <w:t xml:space="preserve"> specifiche. Perché tali propositi siano efficaci è indispensabile individuare le linee di progressione prioritarie su cui coinvolgere i soggetti pubblici e privati.</w:t>
      </w:r>
    </w:p>
    <w:p w:rsidR="003F2EA8" w:rsidRPr="003F2EA8" w:rsidRDefault="003F2EA8" w:rsidP="00F96D61">
      <w:pPr>
        <w:spacing w:before="240" w:after="360" w:line="240" w:lineRule="auto"/>
        <w:ind w:left="567" w:hanging="567"/>
        <w:jc w:val="both"/>
        <w:rPr>
          <w:b/>
          <w:bCs/>
          <w:sz w:val="32"/>
        </w:rPr>
      </w:pPr>
      <w:r>
        <w:rPr>
          <w:b/>
          <w:bCs/>
          <w:sz w:val="32"/>
        </w:rPr>
        <w:t>2.</w:t>
      </w:r>
      <w:r>
        <w:rPr>
          <w:b/>
          <w:bCs/>
          <w:sz w:val="32"/>
        </w:rPr>
        <w:tab/>
        <w:t>L’importanza della misurazione statistica di dettaglio e tempestiva</w:t>
      </w:r>
    </w:p>
    <w:p w:rsidR="00CC4E59" w:rsidRDefault="00F96D61" w:rsidP="00F96D61">
      <w:pPr>
        <w:spacing w:before="120" w:after="120" w:line="240" w:lineRule="auto"/>
        <w:jc w:val="both"/>
      </w:pPr>
      <w:r>
        <w:t xml:space="preserve">Un punto qualificante del Piano è l’intenzione di creare una apposita </w:t>
      </w:r>
      <w:r w:rsidRPr="00AA5240">
        <w:rPr>
          <w:b/>
          <w:bCs/>
          <w:i/>
          <w:iCs/>
        </w:rPr>
        <w:t>data room territoriale</w:t>
      </w:r>
      <w:r>
        <w:t xml:space="preserve"> e un </w:t>
      </w:r>
      <w:r w:rsidR="00AA5240" w:rsidRPr="00AA5240">
        <w:rPr>
          <w:b/>
          <w:bCs/>
          <w:i/>
          <w:iCs/>
        </w:rPr>
        <w:t>C</w:t>
      </w:r>
      <w:r w:rsidRPr="00AA5240">
        <w:rPr>
          <w:b/>
          <w:bCs/>
          <w:i/>
          <w:iCs/>
        </w:rPr>
        <w:t xml:space="preserve">entro </w:t>
      </w:r>
      <w:r w:rsidR="00AA5240" w:rsidRPr="00AA5240">
        <w:rPr>
          <w:b/>
          <w:bCs/>
          <w:i/>
          <w:iCs/>
        </w:rPr>
        <w:t>S</w:t>
      </w:r>
      <w:r w:rsidRPr="00AA5240">
        <w:rPr>
          <w:b/>
          <w:bCs/>
          <w:i/>
          <w:iCs/>
        </w:rPr>
        <w:t>tudi</w:t>
      </w:r>
      <w:r>
        <w:t xml:space="preserve"> per il monitoraggio delle diverse fenomenologie che interessano il settore. </w:t>
      </w:r>
    </w:p>
    <w:p w:rsidR="00E60AB7" w:rsidRDefault="00F96D61" w:rsidP="00F96D61">
      <w:pPr>
        <w:spacing w:before="120" w:after="120" w:line="240" w:lineRule="auto"/>
        <w:jc w:val="both"/>
      </w:pPr>
      <w:r>
        <w:t xml:space="preserve">Quello della </w:t>
      </w:r>
      <w:r w:rsidRPr="00F96D61">
        <w:t>misurazione</w:t>
      </w:r>
      <w:r>
        <w:t xml:space="preserve"> e dell’</w:t>
      </w:r>
      <w:r w:rsidRPr="00AA5240">
        <w:rPr>
          <w:b/>
          <w:bCs/>
        </w:rPr>
        <w:t>analisi statistica</w:t>
      </w:r>
      <w:r>
        <w:t xml:space="preserve"> è un punto cruciale </w:t>
      </w:r>
      <w:r w:rsidR="00CC4E59">
        <w:t>che</w:t>
      </w:r>
      <w:r w:rsidR="00DD453E">
        <w:t>,</w:t>
      </w:r>
      <w:r w:rsidR="00CC4E59">
        <w:t xml:space="preserve"> nonostante molti sforzi</w:t>
      </w:r>
      <w:r w:rsidR="00DD453E">
        <w:t>,</w:t>
      </w:r>
      <w:r w:rsidR="00CC4E59">
        <w:t xml:space="preserve"> non ha ancora raggiunto un livello soddisfacente e adeguato</w:t>
      </w:r>
      <w:r w:rsidR="00AA5240">
        <w:t>. Le</w:t>
      </w:r>
      <w:r w:rsidR="00CC4E59">
        <w:t xml:space="preserve"> politiche di intervento </w:t>
      </w:r>
      <w:r w:rsidR="00AA5240">
        <w:t>hanno necessità di fondarsi</w:t>
      </w:r>
      <w:r w:rsidR="00DD453E">
        <w:t xml:space="preserve"> su elementi quantitativi e </w:t>
      </w:r>
      <w:r w:rsidR="00AA5240">
        <w:t xml:space="preserve">analisi </w:t>
      </w:r>
      <w:r w:rsidR="00DD453E">
        <w:t>obiettiv</w:t>
      </w:r>
      <w:r w:rsidR="00AA5240">
        <w:t>e</w:t>
      </w:r>
      <w:r w:rsidR="00DD453E">
        <w:t xml:space="preserve"> (lo stesso Piano 2023-2027 delinea uno scenario di riferimento con dati prevalentemente del 2021). E</w:t>
      </w:r>
      <w:r w:rsidR="00AA5240">
        <w:t>,</w:t>
      </w:r>
      <w:r w:rsidR="00DD453E">
        <w:t>’ quindi</w:t>
      </w:r>
      <w:r w:rsidR="00AA5240">
        <w:t>,</w:t>
      </w:r>
      <w:r w:rsidR="00DD453E">
        <w:t xml:space="preserve"> necessario far convergere in un </w:t>
      </w:r>
      <w:r w:rsidR="00DD453E" w:rsidRPr="00AA5240">
        <w:rPr>
          <w:b/>
          <w:bCs/>
        </w:rPr>
        <w:t>sistema statistico “federato”</w:t>
      </w:r>
      <w:r w:rsidR="00DD453E">
        <w:t xml:space="preserve"> dati di provenienza diversificata, pro</w:t>
      </w:r>
      <w:r w:rsidR="004A3ADC">
        <w:t>dotti</w:t>
      </w:r>
      <w:r w:rsidR="00DD453E">
        <w:t xml:space="preserve"> da Regioni, operatori, autorità locali, piattaforme che oggi effettuano le rilevazioni in maniera non integrata. Questi dati</w:t>
      </w:r>
      <w:r w:rsidR="00AA5240">
        <w:t xml:space="preserve"> è indispensabile siano t</w:t>
      </w:r>
      <w:r w:rsidR="00AA5240" w:rsidRPr="00AA5240">
        <w:rPr>
          <w:b/>
          <w:bCs/>
        </w:rPr>
        <w:t>empestivi</w:t>
      </w:r>
      <w:r w:rsidR="00DD453E">
        <w:t xml:space="preserve"> </w:t>
      </w:r>
      <w:r w:rsidR="00AA5240">
        <w:t>nel determinare gli andamenti congiunturali</w:t>
      </w:r>
      <w:r w:rsidR="00E60AB7">
        <w:t xml:space="preserve"> con riferimento almeno ad arrivi e pernottamenti, ma anche</w:t>
      </w:r>
      <w:r w:rsidR="00AA5240">
        <w:t xml:space="preserve"> </w:t>
      </w:r>
      <w:r w:rsidR="00AA5240" w:rsidRPr="00AA5240">
        <w:rPr>
          <w:b/>
          <w:bCs/>
        </w:rPr>
        <w:t>strutturali</w:t>
      </w:r>
      <w:r w:rsidR="00E60AB7" w:rsidRPr="00E60AB7">
        <w:t xml:space="preserve"> </w:t>
      </w:r>
      <w:r w:rsidR="00E60AB7">
        <w:t>per approfondire gli aspetti di tipo qualitativo.</w:t>
      </w:r>
    </w:p>
    <w:p w:rsidR="00DD453E" w:rsidRDefault="00DD453E" w:rsidP="00F96D61">
      <w:pPr>
        <w:spacing w:before="120" w:after="120" w:line="240" w:lineRule="auto"/>
        <w:jc w:val="both"/>
      </w:pPr>
      <w:r>
        <w:t xml:space="preserve"> Ad esempio</w:t>
      </w:r>
      <w:r w:rsidR="00E75C32">
        <w:t>,</w:t>
      </w:r>
      <w:r>
        <w:t xml:space="preserve"> possiamo registrare delle presenze turistiche in Italia (fig. 1) con un ritardo di alcuni mesi per quanto attiene ai dati nazionali</w:t>
      </w:r>
      <w:r w:rsidR="004A3ADC">
        <w:t xml:space="preserve"> (attualmente siamo al febbraio 2023)</w:t>
      </w:r>
      <w:r>
        <w:t>, ma il ritardo nella predisposizione delle statistiche è ancora maggiore sia in riferimento</w:t>
      </w:r>
      <w:r w:rsidR="00E60AB7">
        <w:t xml:space="preserve"> ai territori e</w:t>
      </w:r>
      <w:r>
        <w:t xml:space="preserve"> alle singole destinazioni turistiche</w:t>
      </w:r>
      <w:r w:rsidR="00E60AB7">
        <w:t>. Sporadiche ed estemporanee sono, poi</w:t>
      </w:r>
      <w:r>
        <w:t xml:space="preserve">, </w:t>
      </w:r>
      <w:r w:rsidR="00E60AB7">
        <w:t xml:space="preserve">le </w:t>
      </w:r>
      <w:r w:rsidR="00E60AB7" w:rsidRPr="00E60AB7">
        <w:rPr>
          <w:b/>
          <w:bCs/>
        </w:rPr>
        <w:t xml:space="preserve">rilevazioni riguardanti </w:t>
      </w:r>
      <w:r w:rsidRPr="00E60AB7">
        <w:rPr>
          <w:b/>
          <w:bCs/>
        </w:rPr>
        <w:t>i comportamenti della domanda</w:t>
      </w:r>
      <w:r w:rsidR="00E60AB7">
        <w:rPr>
          <w:b/>
          <w:bCs/>
        </w:rPr>
        <w:t xml:space="preserve">, </w:t>
      </w:r>
      <w:r w:rsidR="00E60AB7" w:rsidRPr="00E60AB7">
        <w:t>mentre conoscere</w:t>
      </w:r>
      <w:r w:rsidR="00E60AB7">
        <w:rPr>
          <w:b/>
          <w:bCs/>
        </w:rPr>
        <w:t xml:space="preserve"> </w:t>
      </w:r>
      <w:r w:rsidR="00E60AB7" w:rsidRPr="00E60AB7">
        <w:t>i</w:t>
      </w:r>
      <w:r w:rsidRPr="00E60AB7">
        <w:t>l</w:t>
      </w:r>
      <w:r>
        <w:t xml:space="preserve"> grado di soddisfazione dei turisti</w:t>
      </w:r>
      <w:r w:rsidR="00E60AB7">
        <w:t xml:space="preserve"> costituisce una delle variabili fondamentali per la</w:t>
      </w:r>
      <w:r>
        <w:t xml:space="preserve"> valorizzazione del territorio</w:t>
      </w:r>
      <w:r w:rsidR="00E60AB7">
        <w:t xml:space="preserve">. Viviamo, infatti, </w:t>
      </w:r>
      <w:r>
        <w:t xml:space="preserve">un contesto in cui </w:t>
      </w:r>
      <w:r w:rsidR="00E60AB7">
        <w:t xml:space="preserve">per </w:t>
      </w:r>
      <w:r>
        <w:t xml:space="preserve">l’aumento dei flussi </w:t>
      </w:r>
      <w:r w:rsidR="00E60AB7">
        <w:t>assume particolare importanza l</w:t>
      </w:r>
      <w:r>
        <w:t xml:space="preserve">a </w:t>
      </w:r>
      <w:r w:rsidRPr="00E60AB7">
        <w:rPr>
          <w:b/>
          <w:bCs/>
        </w:rPr>
        <w:t>fidelizzazione dei viaggiatori</w:t>
      </w:r>
      <w:r>
        <w:t xml:space="preserve"> che ritornano per una seconda o terza visita, sulla base dell’effettiv</w:t>
      </w:r>
      <w:r w:rsidR="00E60AB7">
        <w:t>a</w:t>
      </w:r>
      <w:r>
        <w:t xml:space="preserve"> soddisfazione delle proprie aspettative.</w:t>
      </w:r>
    </w:p>
    <w:p w:rsidR="00E75C32" w:rsidRPr="00E75C32" w:rsidRDefault="00E75C32" w:rsidP="00F96D61">
      <w:pPr>
        <w:spacing w:before="120" w:after="120" w:line="240" w:lineRule="auto"/>
        <w:jc w:val="both"/>
      </w:pPr>
      <w:r w:rsidRPr="00E75C32">
        <w:t xml:space="preserve">Il </w:t>
      </w:r>
      <w:r w:rsidRPr="00E60AB7">
        <w:rPr>
          <w:b/>
          <w:bCs/>
        </w:rPr>
        <w:t>Touring Club Italiano</w:t>
      </w:r>
      <w:r w:rsidRPr="00E75C32">
        <w:t xml:space="preserve"> che </w:t>
      </w:r>
      <w:r>
        <w:t>da più di un secolo svol</w:t>
      </w:r>
      <w:r w:rsidR="004A3ADC">
        <w:t>g</w:t>
      </w:r>
      <w:r>
        <w:t>e un attento monitoraggio del patrimonio nazionale</w:t>
      </w:r>
      <w:r w:rsidR="00BD725D">
        <w:t xml:space="preserve"> e delle fenomenologie turistiche, si dichiara </w:t>
      </w:r>
      <w:r w:rsidR="00BD725D" w:rsidRPr="00E60AB7">
        <w:rPr>
          <w:b/>
          <w:bCs/>
        </w:rPr>
        <w:t>disponibile ad un’utile collaborazione con il Parlamento ed il Governo</w:t>
      </w:r>
      <w:r w:rsidR="00BD725D">
        <w:t xml:space="preserve"> per il conseguimento di un tale concreto obiettivo.</w:t>
      </w:r>
    </w:p>
    <w:p w:rsidR="00634386" w:rsidRDefault="00634386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3F2EA8" w:rsidRPr="003F2EA8" w:rsidRDefault="003F2EA8" w:rsidP="00DD453E">
      <w:pPr>
        <w:spacing w:before="120" w:after="360" w:line="240" w:lineRule="auto"/>
        <w:rPr>
          <w:b/>
          <w:bCs/>
          <w:sz w:val="20"/>
        </w:rPr>
      </w:pPr>
      <w:r w:rsidRPr="003F2EA8">
        <w:rPr>
          <w:b/>
          <w:bCs/>
          <w:sz w:val="20"/>
        </w:rPr>
        <w:lastRenderedPageBreak/>
        <w:t>Fig. 1</w:t>
      </w:r>
      <w:r w:rsidR="003974AE">
        <w:rPr>
          <w:b/>
          <w:bCs/>
          <w:sz w:val="20"/>
        </w:rPr>
        <w:t xml:space="preserve"> </w:t>
      </w:r>
      <w:r w:rsidR="00DD453E">
        <w:rPr>
          <w:b/>
          <w:bCs/>
          <w:sz w:val="20"/>
        </w:rPr>
        <w:t>–</w:t>
      </w:r>
      <w:r w:rsidR="003974AE">
        <w:rPr>
          <w:b/>
          <w:bCs/>
          <w:sz w:val="20"/>
        </w:rPr>
        <w:t xml:space="preserve"> </w:t>
      </w:r>
      <w:r w:rsidR="00DD453E">
        <w:rPr>
          <w:b/>
          <w:bCs/>
          <w:sz w:val="20"/>
        </w:rPr>
        <w:t>Arrivi e presenze di turisti in Italia (dati mensili)</w:t>
      </w:r>
    </w:p>
    <w:p w:rsidR="0076204D" w:rsidRDefault="0076204D" w:rsidP="003F2EA8">
      <w:pPr>
        <w:spacing w:line="240" w:lineRule="auto"/>
      </w:pPr>
      <w:r>
        <w:rPr>
          <w:noProof/>
          <w:lang w:eastAsia="it-IT"/>
        </w:rPr>
        <w:drawing>
          <wp:inline distT="0" distB="0" distL="0" distR="0" wp14:anchorId="782E54FE" wp14:editId="247F7D40">
            <wp:extent cx="5285678" cy="3490331"/>
            <wp:effectExtent l="0" t="0" r="10795" b="1524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BB85B50-A937-46FA-AEEF-BE91B27CBE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204D" w:rsidRDefault="003F2EA8" w:rsidP="003F2EA8">
      <w:pPr>
        <w:spacing w:line="240" w:lineRule="auto"/>
        <w:rPr>
          <w:sz w:val="20"/>
        </w:rPr>
      </w:pPr>
      <w:r w:rsidRPr="003F2EA8">
        <w:rPr>
          <w:sz w:val="20"/>
        </w:rPr>
        <w:t>Fonte</w:t>
      </w:r>
      <w:r>
        <w:rPr>
          <w:sz w:val="20"/>
        </w:rPr>
        <w:t>:</w:t>
      </w:r>
      <w:r w:rsidR="00DD453E">
        <w:rPr>
          <w:sz w:val="20"/>
        </w:rPr>
        <w:t xml:space="preserve"> Istat</w:t>
      </w:r>
    </w:p>
    <w:p w:rsidR="003F2EA8" w:rsidRDefault="003F2EA8" w:rsidP="003F2EA8">
      <w:pPr>
        <w:spacing w:line="240" w:lineRule="auto"/>
        <w:rPr>
          <w:sz w:val="20"/>
        </w:rPr>
      </w:pPr>
    </w:p>
    <w:p w:rsidR="003F2EA8" w:rsidRPr="003F2EA8" w:rsidRDefault="003F2EA8" w:rsidP="003974AE">
      <w:pPr>
        <w:spacing w:before="240" w:after="360" w:line="240" w:lineRule="auto"/>
        <w:ind w:left="567" w:hanging="567"/>
        <w:rPr>
          <w:b/>
          <w:bCs/>
          <w:sz w:val="32"/>
        </w:rPr>
      </w:pPr>
      <w:r>
        <w:rPr>
          <w:b/>
          <w:bCs/>
          <w:sz w:val="32"/>
        </w:rPr>
        <w:t>3.</w:t>
      </w:r>
      <w:r>
        <w:rPr>
          <w:b/>
          <w:bCs/>
          <w:sz w:val="32"/>
        </w:rPr>
        <w:tab/>
        <w:t>Accrescere il valore aggiunto per i territori</w:t>
      </w:r>
    </w:p>
    <w:p w:rsidR="003974AE" w:rsidRPr="008D1F1E" w:rsidRDefault="000E04FB" w:rsidP="000E04FB">
      <w:pPr>
        <w:spacing w:before="120" w:after="120" w:line="240" w:lineRule="auto"/>
        <w:jc w:val="both"/>
        <w:rPr>
          <w:b/>
          <w:bCs/>
        </w:rPr>
      </w:pPr>
      <w:r>
        <w:t xml:space="preserve">Il Piano Strategico ha necessità di concentrare l’attenzione dei soggetti interessati su un obiettivo di crescita di un settore tanto importante per l’economia nazionale come è il turismo. Sotto questo profilo, è indispensabile </w:t>
      </w:r>
      <w:r w:rsidRPr="008D1F1E">
        <w:rPr>
          <w:b/>
          <w:bCs/>
        </w:rPr>
        <w:t>porre in relazione l’a</w:t>
      </w:r>
      <w:r w:rsidR="008D1F1E" w:rsidRPr="008D1F1E">
        <w:rPr>
          <w:b/>
          <w:bCs/>
        </w:rPr>
        <w:t>umento</w:t>
      </w:r>
      <w:r w:rsidRPr="008D1F1E">
        <w:rPr>
          <w:b/>
          <w:bCs/>
        </w:rPr>
        <w:t xml:space="preserve"> dei flussi</w:t>
      </w:r>
      <w:r>
        <w:t xml:space="preserve"> di viaggiatori verso le destinazioni turistiche italiane e la </w:t>
      </w:r>
      <w:r w:rsidRPr="008D1F1E">
        <w:rPr>
          <w:b/>
          <w:bCs/>
        </w:rPr>
        <w:t xml:space="preserve">creazione di valore aggiunto economico, sociale e </w:t>
      </w:r>
      <w:r w:rsidR="008D1F1E">
        <w:rPr>
          <w:b/>
          <w:bCs/>
        </w:rPr>
        <w:t>patrimoniale</w:t>
      </w:r>
      <w:r w:rsidRPr="008D1F1E">
        <w:rPr>
          <w:b/>
          <w:bCs/>
        </w:rPr>
        <w:t xml:space="preserve">. </w:t>
      </w:r>
    </w:p>
    <w:p w:rsidR="000E04FB" w:rsidRPr="003974AE" w:rsidRDefault="000E04FB" w:rsidP="000E04FB">
      <w:pPr>
        <w:spacing w:before="120" w:after="120" w:line="240" w:lineRule="auto"/>
        <w:jc w:val="both"/>
      </w:pPr>
      <w:r>
        <w:t>In questo senso, l’obiettivo che si dà il Piano di</w:t>
      </w:r>
      <w:r w:rsidR="008D1F1E">
        <w:t xml:space="preserve"> Competitività e</w:t>
      </w:r>
      <w:r>
        <w:t xml:space="preserve"> Sostenibilità va declinato in una strategia che si ponga </w:t>
      </w:r>
      <w:r w:rsidR="004A3ADC">
        <w:t xml:space="preserve">il </w:t>
      </w:r>
      <w:r>
        <w:t xml:space="preserve">fine di </w:t>
      </w:r>
      <w:r w:rsidRPr="008D1F1E">
        <w:rPr>
          <w:b/>
          <w:bCs/>
        </w:rPr>
        <w:t>contribuire positivamente al</w:t>
      </w:r>
      <w:r w:rsidR="00296DA5">
        <w:rPr>
          <w:b/>
          <w:bCs/>
        </w:rPr>
        <w:t>lo sviluppo del</w:t>
      </w:r>
      <w:r w:rsidRPr="008D1F1E">
        <w:rPr>
          <w:b/>
          <w:bCs/>
        </w:rPr>
        <w:t xml:space="preserve"> prodotto</w:t>
      </w:r>
      <w:r w:rsidR="00296DA5">
        <w:rPr>
          <w:b/>
          <w:bCs/>
        </w:rPr>
        <w:t xml:space="preserve"> interno</w:t>
      </w:r>
      <w:r w:rsidRPr="008D1F1E">
        <w:rPr>
          <w:b/>
          <w:bCs/>
        </w:rPr>
        <w:t xml:space="preserve"> nazionale e</w:t>
      </w:r>
      <w:r w:rsidR="00296DA5">
        <w:rPr>
          <w:b/>
          <w:bCs/>
        </w:rPr>
        <w:t xml:space="preserve"> al</w:t>
      </w:r>
      <w:r w:rsidRPr="008D1F1E">
        <w:rPr>
          <w:b/>
          <w:bCs/>
        </w:rPr>
        <w:t>la crescita di un’occupazione di buona qualità.</w:t>
      </w:r>
      <w:r>
        <w:t xml:space="preserve"> A titolo esemplificativo si riporta un’analisi effettuata sulla realtà romana che, facendo riferimento al periodo precedente alla pandemia e agli eventi perturbativi de</w:t>
      </w:r>
      <w:r w:rsidR="008D1F1E">
        <w:t>gli anni più recenti</w:t>
      </w:r>
      <w:r>
        <w:t>, ha visto crescere fra il 2010 e il 2019 le presenze turistiche del 72% (da 26 a 47 milioni di pernottamenti) ma del 21% il valore aggiunto dei settori economici connessi al turismo (fig. 2).</w:t>
      </w:r>
    </w:p>
    <w:p w:rsidR="003F2EA8" w:rsidRPr="003F2EA8" w:rsidRDefault="003F2EA8" w:rsidP="003F2EA8">
      <w:pPr>
        <w:spacing w:line="240" w:lineRule="auto"/>
        <w:rPr>
          <w:sz w:val="20"/>
        </w:rPr>
      </w:pPr>
    </w:p>
    <w:p w:rsidR="000E04FB" w:rsidRDefault="000E04FB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3F2EA8" w:rsidRPr="003F2EA8" w:rsidRDefault="003F2EA8" w:rsidP="003F2EA8">
      <w:pPr>
        <w:spacing w:line="240" w:lineRule="auto"/>
        <w:ind w:left="708" w:hanging="708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Fig. 2 - </w:t>
      </w:r>
      <w:r>
        <w:rPr>
          <w:b/>
          <w:bCs/>
          <w:sz w:val="20"/>
        </w:rPr>
        <w:tab/>
      </w:r>
      <w:r w:rsidRPr="003F2EA8">
        <w:rPr>
          <w:b/>
          <w:bCs/>
          <w:sz w:val="20"/>
        </w:rPr>
        <w:t>Andamento delle presenze turistiche a Roma e del valore aggiunto prodotto nei settori interessati (Numero indice 2010=100)</w:t>
      </w:r>
    </w:p>
    <w:p w:rsidR="0076204D" w:rsidRDefault="0076204D" w:rsidP="003F2EA8">
      <w:pPr>
        <w:spacing w:line="240" w:lineRule="auto"/>
      </w:pPr>
      <w:r w:rsidRPr="00D24657">
        <w:rPr>
          <w:noProof/>
          <w:lang w:eastAsia="it-IT"/>
        </w:rPr>
        <w:drawing>
          <wp:inline distT="0" distB="0" distL="0" distR="0" wp14:anchorId="328E71CD" wp14:editId="1DB08145">
            <wp:extent cx="5153025" cy="3810000"/>
            <wp:effectExtent l="0" t="0" r="9525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DF6826F-1737-419F-AE09-468BB89B80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2EA8" w:rsidRDefault="003F2EA8" w:rsidP="003F2EA8">
      <w:pPr>
        <w:spacing w:line="240" w:lineRule="auto"/>
        <w:rPr>
          <w:sz w:val="20"/>
        </w:rPr>
      </w:pPr>
      <w:r>
        <w:rPr>
          <w:sz w:val="20"/>
        </w:rPr>
        <w:t xml:space="preserve">Fonte: elaborazione </w:t>
      </w:r>
      <w:proofErr w:type="spellStart"/>
      <w:r>
        <w:rPr>
          <w:sz w:val="20"/>
        </w:rPr>
        <w:t>Rur</w:t>
      </w:r>
      <w:proofErr w:type="spellEnd"/>
      <w:r>
        <w:rPr>
          <w:sz w:val="20"/>
        </w:rPr>
        <w:t xml:space="preserve"> su dati Istat e stime</w:t>
      </w:r>
    </w:p>
    <w:p w:rsidR="00940E63" w:rsidRDefault="00940E63" w:rsidP="003F2EA8">
      <w:pPr>
        <w:spacing w:line="240" w:lineRule="auto"/>
        <w:rPr>
          <w:sz w:val="20"/>
        </w:rPr>
      </w:pPr>
    </w:p>
    <w:p w:rsidR="003F2EA8" w:rsidRPr="003F2EA8" w:rsidRDefault="003F2EA8" w:rsidP="00A50DB1">
      <w:pPr>
        <w:spacing w:before="240" w:after="360" w:line="240" w:lineRule="auto"/>
        <w:ind w:left="567" w:hanging="567"/>
        <w:jc w:val="both"/>
        <w:rPr>
          <w:b/>
          <w:bCs/>
          <w:sz w:val="32"/>
        </w:rPr>
      </w:pPr>
      <w:r>
        <w:rPr>
          <w:b/>
          <w:bCs/>
          <w:sz w:val="32"/>
        </w:rPr>
        <w:t>4.</w:t>
      </w:r>
      <w:r>
        <w:rPr>
          <w:b/>
          <w:bCs/>
          <w:sz w:val="32"/>
        </w:rPr>
        <w:tab/>
        <w:t>Superare la concentrazione dei flussi, allargare e diversificare l‘offerta</w:t>
      </w:r>
    </w:p>
    <w:p w:rsidR="003974AE" w:rsidRPr="00E22E88" w:rsidRDefault="00A50DB1" w:rsidP="00A50DB1">
      <w:pPr>
        <w:spacing w:before="120" w:after="120" w:line="240" w:lineRule="auto"/>
        <w:jc w:val="both"/>
        <w:rPr>
          <w:b/>
          <w:bCs/>
        </w:rPr>
      </w:pPr>
      <w:r>
        <w:t xml:space="preserve">Come è noto, </w:t>
      </w:r>
      <w:r w:rsidRPr="00E22E88">
        <w:rPr>
          <w:b/>
          <w:bCs/>
        </w:rPr>
        <w:t>il mercato turistico italiano per volumi è</w:t>
      </w:r>
      <w:r>
        <w:t xml:space="preserve"> </w:t>
      </w:r>
      <w:r w:rsidRPr="00E22E88">
        <w:rPr>
          <w:b/>
          <w:bCs/>
        </w:rPr>
        <w:t>concentrato territorialmente</w:t>
      </w:r>
      <w:r>
        <w:t>. Le prime cinque regioni per presenze turistiche – Veneto, Trentino</w:t>
      </w:r>
      <w:r w:rsidR="00E22E88">
        <w:t>-</w:t>
      </w:r>
      <w:r>
        <w:t xml:space="preserve"> Alto Adige, Toscana, Emilia</w:t>
      </w:r>
      <w:r w:rsidR="00E22E88">
        <w:t>-</w:t>
      </w:r>
      <w:r>
        <w:t xml:space="preserve"> Romagna e Lazio – </w:t>
      </w:r>
      <w:r w:rsidR="00296DA5">
        <w:t>detengono</w:t>
      </w:r>
      <w:r>
        <w:t xml:space="preserve"> il 57% dei pernottamenti totali. Il Mezzogiorno, </w:t>
      </w:r>
      <w:r w:rsidR="00296DA5">
        <w:t>con uno straordinario</w:t>
      </w:r>
      <w:r>
        <w:t xml:space="preserve"> patrimonio archeol</w:t>
      </w:r>
      <w:r w:rsidR="00E22E88">
        <w:t>o</w:t>
      </w:r>
      <w:r>
        <w:t>g</w:t>
      </w:r>
      <w:r w:rsidR="00E22E88">
        <w:t>ico</w:t>
      </w:r>
      <w:r>
        <w:t>, paesaggistico,</w:t>
      </w:r>
      <w:r w:rsidR="00E22E88">
        <w:t xml:space="preserve"> naturalistico</w:t>
      </w:r>
      <w:r>
        <w:t xml:space="preserve"> e la vocazione </w:t>
      </w:r>
      <w:r w:rsidR="00E22E88">
        <w:t>per</w:t>
      </w:r>
      <w:r>
        <w:t xml:space="preserve"> un turismo </w:t>
      </w:r>
      <w:proofErr w:type="spellStart"/>
      <w:r w:rsidRPr="00E22E88">
        <w:rPr>
          <w:i/>
          <w:iCs/>
        </w:rPr>
        <w:t>leisure</w:t>
      </w:r>
      <w:proofErr w:type="spellEnd"/>
      <w:r>
        <w:t xml:space="preserve"> di</w:t>
      </w:r>
      <w:r w:rsidR="00E22E88">
        <w:t xml:space="preserve"> qualità e di</w:t>
      </w:r>
      <w:r>
        <w:t xml:space="preserve"> alto profilo</w:t>
      </w:r>
      <w:r w:rsidR="00E22E88">
        <w:t>,</w:t>
      </w:r>
      <w:r>
        <w:t xml:space="preserve"> </w:t>
      </w:r>
      <w:r w:rsidR="00E22E88">
        <w:t>registra</w:t>
      </w:r>
      <w:r>
        <w:t xml:space="preserve"> fra un quinto e un quarto dell’intero </w:t>
      </w:r>
      <w:r w:rsidR="00E22E88">
        <w:t>volume di presenze nazionali</w:t>
      </w:r>
      <w:r w:rsidR="00296DA5">
        <w:t>, a seconda delle diverse annate</w:t>
      </w:r>
      <w:r w:rsidR="00E22E88">
        <w:t>.</w:t>
      </w:r>
      <w:r>
        <w:t xml:space="preserve"> Ma</w:t>
      </w:r>
      <w:r w:rsidR="00E22E88">
        <w:t>, analogo problema si presenta all’interno delle</w:t>
      </w:r>
      <w:r>
        <w:t xml:space="preserve"> nelle stesse regioni con i più elevati livelli quantitativi</w:t>
      </w:r>
      <w:r w:rsidR="00E22E88">
        <w:t xml:space="preserve">. Un obiettivo strategico non potrà che riguardare la </w:t>
      </w:r>
      <w:r w:rsidR="00E22E88" w:rsidRPr="00E22E88">
        <w:rPr>
          <w:b/>
          <w:bCs/>
        </w:rPr>
        <w:t>valorizzazione a fini turistici dei territori,</w:t>
      </w:r>
      <w:r w:rsidR="00E22E88">
        <w:rPr>
          <w:b/>
          <w:bCs/>
        </w:rPr>
        <w:t xml:space="preserve"> </w:t>
      </w:r>
      <w:r w:rsidR="00E22E88" w:rsidRPr="00E22E88">
        <w:rPr>
          <w:b/>
          <w:bCs/>
        </w:rPr>
        <w:t>dei centri, dei borghi, dei parchi, delle aree ad alta valenza ambientale scarsamente frequentati.</w:t>
      </w:r>
    </w:p>
    <w:p w:rsidR="00A50DB1" w:rsidRDefault="00A50DB1" w:rsidP="00A50DB1">
      <w:pPr>
        <w:spacing w:before="120" w:after="120" w:line="240" w:lineRule="auto"/>
        <w:jc w:val="both"/>
      </w:pPr>
      <w:r>
        <w:t xml:space="preserve">Altrettanto vale per il </w:t>
      </w:r>
      <w:r w:rsidRPr="00E22E88">
        <w:rPr>
          <w:b/>
          <w:bCs/>
        </w:rPr>
        <w:t>turismo culturale</w:t>
      </w:r>
      <w:r>
        <w:t xml:space="preserve">, la cui offerta non è soggetta alla stagionalità metereologica e rappresenta un segmento di crescente interesse per il mondo dei viaggiatori. Anche in questo caso, il </w:t>
      </w:r>
      <w:r w:rsidRPr="00E22E88">
        <w:rPr>
          <w:b/>
          <w:bCs/>
        </w:rPr>
        <w:t>73% di tutti i visitatori di musei e siti culturali statali</w:t>
      </w:r>
      <w:r>
        <w:t xml:space="preserve"> è presente in sole tre regioni</w:t>
      </w:r>
      <w:r w:rsidR="00772F51">
        <w:t xml:space="preserve"> che sono </w:t>
      </w:r>
      <w:r w:rsidR="00772F51" w:rsidRPr="00E22E88">
        <w:rPr>
          <w:b/>
          <w:bCs/>
        </w:rPr>
        <w:t>Lazio, Campania e Toscana</w:t>
      </w:r>
      <w:r w:rsidR="00772F51">
        <w:t xml:space="preserve"> (</w:t>
      </w:r>
      <w:proofErr w:type="spellStart"/>
      <w:r w:rsidR="00772F51">
        <w:t>figg</w:t>
      </w:r>
      <w:proofErr w:type="spellEnd"/>
      <w:r w:rsidR="00772F51">
        <w:t>. 3 e 4).</w:t>
      </w:r>
    </w:p>
    <w:p w:rsidR="00A50DB1" w:rsidRPr="003974AE" w:rsidRDefault="00A50DB1" w:rsidP="00A50DB1">
      <w:pPr>
        <w:spacing w:before="120" w:after="120" w:line="240" w:lineRule="auto"/>
        <w:jc w:val="both"/>
      </w:pPr>
    </w:p>
    <w:p w:rsidR="00940E63" w:rsidRDefault="00940E63">
      <w:pPr>
        <w:rPr>
          <w:b/>
          <w:bCs/>
          <w:sz w:val="20"/>
        </w:rPr>
        <w:sectPr w:rsidR="00940E63" w:rsidSect="00634386">
          <w:pgSz w:w="11906" w:h="16838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:rsidR="00772F51" w:rsidRPr="003F2EA8" w:rsidRDefault="00772F51" w:rsidP="00634386">
      <w:pPr>
        <w:spacing w:after="0" w:line="240" w:lineRule="auto"/>
        <w:rPr>
          <w:b/>
          <w:bCs/>
          <w:sz w:val="20"/>
        </w:rPr>
      </w:pPr>
      <w:r w:rsidRPr="003F2EA8">
        <w:rPr>
          <w:b/>
          <w:bCs/>
          <w:sz w:val="20"/>
        </w:rPr>
        <w:lastRenderedPageBreak/>
        <w:t xml:space="preserve">Fig. </w:t>
      </w:r>
      <w:r>
        <w:rPr>
          <w:b/>
          <w:bCs/>
          <w:sz w:val="20"/>
        </w:rPr>
        <w:t>3</w:t>
      </w:r>
      <w:r w:rsidRPr="003F2EA8">
        <w:rPr>
          <w:b/>
          <w:bCs/>
          <w:sz w:val="20"/>
        </w:rPr>
        <w:t xml:space="preserve"> </w:t>
      </w:r>
      <w:r>
        <w:rPr>
          <w:b/>
          <w:bCs/>
          <w:sz w:val="20"/>
        </w:rPr>
        <w:t>-</w:t>
      </w:r>
      <w:r w:rsidRPr="003F2EA8">
        <w:rPr>
          <w:b/>
          <w:bCs/>
          <w:sz w:val="20"/>
        </w:rPr>
        <w:t xml:space="preserve"> Visitatori di musei e siti culturali, per Regione (migliaia di visitatori)</w:t>
      </w:r>
    </w:p>
    <w:p w:rsidR="00772F51" w:rsidRDefault="00772F51" w:rsidP="00772F51">
      <w:pPr>
        <w:spacing w:line="240" w:lineRule="auto"/>
      </w:pPr>
      <w:r w:rsidRPr="00763180">
        <w:rPr>
          <w:noProof/>
          <w:lang w:eastAsia="it-IT"/>
        </w:rPr>
        <w:drawing>
          <wp:inline distT="0" distB="0" distL="0" distR="0" wp14:anchorId="2D60C511" wp14:editId="7474F4EA">
            <wp:extent cx="5168900" cy="4318000"/>
            <wp:effectExtent l="0" t="0" r="0" b="635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3173C93-1C42-4AF7-AA0B-7DD74BCD19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2F51" w:rsidRDefault="00772F51" w:rsidP="00772F51">
      <w:pPr>
        <w:spacing w:line="240" w:lineRule="auto"/>
        <w:rPr>
          <w:sz w:val="20"/>
        </w:rPr>
      </w:pPr>
      <w:r>
        <w:rPr>
          <w:sz w:val="20"/>
        </w:rPr>
        <w:t>Fonte: Ministero della Cultura</w:t>
      </w:r>
    </w:p>
    <w:p w:rsidR="00772F51" w:rsidRPr="003F2EA8" w:rsidRDefault="00772F51" w:rsidP="00772F51">
      <w:pPr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>Fig. 4 – Visitatori di un campione di siti culturali (in migliaia)</w:t>
      </w:r>
    </w:p>
    <w:p w:rsidR="00772F51" w:rsidRDefault="00772F51" w:rsidP="00772F51">
      <w:pPr>
        <w:spacing w:line="240" w:lineRule="auto"/>
      </w:pPr>
      <w:r w:rsidRPr="00763180">
        <w:rPr>
          <w:noProof/>
          <w:lang w:eastAsia="it-IT"/>
        </w:rPr>
        <w:drawing>
          <wp:inline distT="0" distB="0" distL="0" distR="0" wp14:anchorId="45E4A9BF" wp14:editId="7050DE39">
            <wp:extent cx="4902200" cy="3632200"/>
            <wp:effectExtent l="0" t="0" r="0" b="635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8AC4B2-9BAB-4750-BFE1-00F8129BD7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0E63" w:rsidRDefault="00772F51" w:rsidP="00940E63">
      <w:pPr>
        <w:spacing w:after="0" w:line="240" w:lineRule="auto"/>
        <w:rPr>
          <w:sz w:val="20"/>
        </w:rPr>
        <w:sectPr w:rsidR="00940E63" w:rsidSect="00940E63">
          <w:pgSz w:w="11906" w:h="16838" w:code="9"/>
          <w:pgMar w:top="1134" w:right="1701" w:bottom="1134" w:left="1701" w:header="709" w:footer="709" w:gutter="0"/>
          <w:cols w:space="708"/>
          <w:docGrid w:linePitch="360"/>
        </w:sectPr>
      </w:pPr>
      <w:r>
        <w:rPr>
          <w:sz w:val="20"/>
        </w:rPr>
        <w:t xml:space="preserve">Fonte: </w:t>
      </w:r>
      <w:r w:rsidR="00634386">
        <w:rPr>
          <w:sz w:val="20"/>
        </w:rPr>
        <w:t xml:space="preserve">elaborazione </w:t>
      </w:r>
      <w:proofErr w:type="spellStart"/>
      <w:r w:rsidR="00634386">
        <w:rPr>
          <w:sz w:val="20"/>
        </w:rPr>
        <w:t>Rur</w:t>
      </w:r>
      <w:proofErr w:type="spellEnd"/>
      <w:r w:rsidR="00634386">
        <w:rPr>
          <w:sz w:val="20"/>
        </w:rPr>
        <w:t xml:space="preserve"> su dati </w:t>
      </w:r>
      <w:r>
        <w:rPr>
          <w:sz w:val="20"/>
        </w:rPr>
        <w:t>Ministero della Cultura</w:t>
      </w:r>
    </w:p>
    <w:p w:rsidR="00772F51" w:rsidRPr="00E22E88" w:rsidRDefault="00772F51" w:rsidP="00772F51">
      <w:pPr>
        <w:spacing w:before="120" w:after="120" w:line="240" w:lineRule="auto"/>
        <w:jc w:val="both"/>
        <w:rPr>
          <w:b/>
          <w:bCs/>
        </w:rPr>
      </w:pPr>
      <w:r>
        <w:lastRenderedPageBreak/>
        <w:t xml:space="preserve">Al fine di riequilibrare una tale distribuzione dei flussi il </w:t>
      </w:r>
      <w:r w:rsidRPr="00E22E88">
        <w:rPr>
          <w:b/>
          <w:bCs/>
        </w:rPr>
        <w:t xml:space="preserve">Touring </w:t>
      </w:r>
      <w:r w:rsidRPr="00296DA5">
        <w:rPr>
          <w:b/>
          <w:bCs/>
        </w:rPr>
        <w:t>Club</w:t>
      </w:r>
      <w:r w:rsidR="00E22E88" w:rsidRPr="00296DA5">
        <w:rPr>
          <w:b/>
          <w:bCs/>
        </w:rPr>
        <w:t xml:space="preserve"> Italiano</w:t>
      </w:r>
      <w:r w:rsidRPr="00E22E88">
        <w:t xml:space="preserve"> </w:t>
      </w:r>
      <w:r>
        <w:t xml:space="preserve">da venticinque anni certifica comuni di alta qualità per valori culturali e ambientali, assegnando il titolo di </w:t>
      </w:r>
      <w:r w:rsidRPr="00E22E88">
        <w:rPr>
          <w:b/>
          <w:bCs/>
        </w:rPr>
        <w:t>Comuni Bandiere Arancioni.</w:t>
      </w:r>
      <w:r>
        <w:t xml:space="preserve"> Possibile strumento per incrementare le destinazioni più periferiche è la costituzione di un </w:t>
      </w:r>
      <w:r w:rsidRPr="00E22E88">
        <w:rPr>
          <w:b/>
          <w:bCs/>
        </w:rPr>
        <w:t>Comunicato Borghi Turistici</w:t>
      </w:r>
      <w:r>
        <w:t xml:space="preserve"> presso il Ministero del Turismo che possa </w:t>
      </w:r>
      <w:r w:rsidRPr="00E22E88">
        <w:rPr>
          <w:b/>
          <w:bCs/>
        </w:rPr>
        <w:t>riunire le principali reti di comuni medio-piccoli al fine di accompagnarne i processi di sviluppo turistico.</w:t>
      </w:r>
    </w:p>
    <w:p w:rsidR="00772F51" w:rsidRPr="00772F51" w:rsidRDefault="00772F51" w:rsidP="00772F51">
      <w:pPr>
        <w:spacing w:before="120" w:after="120" w:line="240" w:lineRule="auto"/>
        <w:jc w:val="both"/>
      </w:pPr>
      <w:r>
        <w:t xml:space="preserve">E’ importante l’attrattività turistica a livello internazionali, bisogna rilevare che </w:t>
      </w:r>
      <w:r w:rsidRPr="00E22E88">
        <w:rPr>
          <w:b/>
          <w:bCs/>
        </w:rPr>
        <w:t>in Italia la metà delle presenze turistiche è costituita da viaggiatori stranieri</w:t>
      </w:r>
      <w:r>
        <w:t xml:space="preserve"> mentre in altri paesi particolarmente vitali per questo comparto come la </w:t>
      </w:r>
      <w:r w:rsidRPr="00723CFB">
        <w:rPr>
          <w:b/>
          <w:bCs/>
        </w:rPr>
        <w:t>Francia, il turismo interno è una componente maggioritaria dei flussi di viaggiatori</w:t>
      </w:r>
      <w:r w:rsidR="00723CFB" w:rsidRPr="00723CFB">
        <w:rPr>
          <w:b/>
          <w:bCs/>
        </w:rPr>
        <w:t xml:space="preserve"> e rappresenta il 70% del totale</w:t>
      </w:r>
      <w:r>
        <w:t xml:space="preserve">. Pertanto, un’altra focalizzazione del Piano dovrebbe riguardare </w:t>
      </w:r>
      <w:r w:rsidRPr="00723CFB">
        <w:rPr>
          <w:b/>
          <w:bCs/>
        </w:rPr>
        <w:t>l’incremento del turismo nazionale</w:t>
      </w:r>
      <w:r w:rsidR="00723CFB">
        <w:rPr>
          <w:b/>
          <w:bCs/>
        </w:rPr>
        <w:t>.</w:t>
      </w:r>
      <w:r>
        <w:t xml:space="preserve"> </w:t>
      </w:r>
      <w:r w:rsidR="00296DA5">
        <w:t xml:space="preserve">Nonostante la relativa stagnazione del reddito disponibile degli italiani, è </w:t>
      </w:r>
      <w:r w:rsidR="00296DA5" w:rsidRPr="00296DA5">
        <w:rPr>
          <w:b/>
          <w:bCs/>
        </w:rPr>
        <w:t>ripreso il flusso in uscita di viaggiatori che si recano all’estero</w:t>
      </w:r>
      <w:r w:rsidR="00296DA5">
        <w:t>. G</w:t>
      </w:r>
      <w:r w:rsidR="00723CFB">
        <w:t xml:space="preserve">ià nel 2022 si stima che la spesa di viaggiatori italiani all’estero sia vicina ai valori </w:t>
      </w:r>
      <w:proofErr w:type="spellStart"/>
      <w:r w:rsidR="00723CFB">
        <w:t>pr</w:t>
      </w:r>
      <w:r w:rsidR="00296DA5">
        <w:t>e</w:t>
      </w:r>
      <w:proofErr w:type="spellEnd"/>
      <w:r w:rsidR="00723CFB">
        <w:t xml:space="preserve"> Covid-19.</w:t>
      </w:r>
      <w:r>
        <w:t xml:space="preserve"> (</w:t>
      </w:r>
      <w:proofErr w:type="spellStart"/>
      <w:r>
        <w:t>figg</w:t>
      </w:r>
      <w:proofErr w:type="spellEnd"/>
      <w:r>
        <w:t>. 5 e 6)</w:t>
      </w:r>
    </w:p>
    <w:p w:rsidR="00940E63" w:rsidRDefault="00940E63" w:rsidP="003F2EA8">
      <w:pPr>
        <w:spacing w:line="240" w:lineRule="auto"/>
        <w:rPr>
          <w:b/>
          <w:bCs/>
          <w:sz w:val="20"/>
        </w:rPr>
      </w:pPr>
    </w:p>
    <w:p w:rsidR="003F2EA8" w:rsidRPr="003F2EA8" w:rsidRDefault="003F2EA8" w:rsidP="003F2EA8">
      <w:pPr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Fig. </w:t>
      </w:r>
      <w:r w:rsidR="00772F51">
        <w:rPr>
          <w:b/>
          <w:bCs/>
          <w:sz w:val="20"/>
        </w:rPr>
        <w:t>5</w:t>
      </w:r>
      <w:r>
        <w:rPr>
          <w:b/>
          <w:bCs/>
          <w:sz w:val="20"/>
        </w:rPr>
        <w:t xml:space="preserve"> – Arrivi e presenze turistiche (in milioni)</w:t>
      </w:r>
    </w:p>
    <w:p w:rsidR="0076204D" w:rsidRDefault="0076204D" w:rsidP="003F2EA8">
      <w:pPr>
        <w:spacing w:line="240" w:lineRule="auto"/>
      </w:pPr>
      <w:r w:rsidRPr="00D24657">
        <w:rPr>
          <w:noProof/>
          <w:lang w:eastAsia="it-IT"/>
        </w:rPr>
        <w:drawing>
          <wp:inline distT="0" distB="0" distL="0" distR="0" wp14:anchorId="175BE599" wp14:editId="3B83D488">
            <wp:extent cx="5270500" cy="3302000"/>
            <wp:effectExtent l="0" t="0" r="635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1A7BAE3-C833-4DA8-8A27-4C6461A8BD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2EA8" w:rsidRPr="003F2EA8" w:rsidRDefault="003F2EA8" w:rsidP="003F2EA8">
      <w:pPr>
        <w:spacing w:line="240" w:lineRule="auto"/>
        <w:rPr>
          <w:sz w:val="20"/>
        </w:rPr>
      </w:pPr>
      <w:r>
        <w:rPr>
          <w:sz w:val="20"/>
        </w:rPr>
        <w:t xml:space="preserve">Fonte: Istat e stime </w:t>
      </w:r>
      <w:proofErr w:type="spellStart"/>
      <w:r>
        <w:rPr>
          <w:sz w:val="20"/>
        </w:rPr>
        <w:t>Rur</w:t>
      </w:r>
      <w:proofErr w:type="spellEnd"/>
    </w:p>
    <w:p w:rsidR="00940E63" w:rsidRDefault="00940E63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76204D" w:rsidRPr="003F2EA8" w:rsidRDefault="003F2EA8" w:rsidP="003F2EA8">
      <w:pPr>
        <w:spacing w:line="240" w:lineRule="auto"/>
        <w:jc w:val="both"/>
        <w:rPr>
          <w:b/>
          <w:bCs/>
          <w:sz w:val="20"/>
        </w:rPr>
      </w:pPr>
      <w:r w:rsidRPr="003F2EA8">
        <w:rPr>
          <w:b/>
          <w:bCs/>
          <w:sz w:val="20"/>
        </w:rPr>
        <w:lastRenderedPageBreak/>
        <w:t xml:space="preserve">Fig. </w:t>
      </w:r>
      <w:r w:rsidR="00772F51">
        <w:rPr>
          <w:b/>
          <w:bCs/>
          <w:sz w:val="20"/>
        </w:rPr>
        <w:t>6</w:t>
      </w:r>
      <w:r w:rsidRPr="003F2EA8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– La spesa turistica cross </w:t>
      </w:r>
      <w:proofErr w:type="spellStart"/>
      <w:r>
        <w:rPr>
          <w:b/>
          <w:bCs/>
          <w:sz w:val="20"/>
        </w:rPr>
        <w:t>border</w:t>
      </w:r>
      <w:proofErr w:type="spellEnd"/>
      <w:r>
        <w:rPr>
          <w:b/>
          <w:bCs/>
          <w:sz w:val="20"/>
        </w:rPr>
        <w:t xml:space="preserve"> (miliardi di €)</w:t>
      </w:r>
    </w:p>
    <w:p w:rsidR="0076204D" w:rsidRDefault="0076204D" w:rsidP="003F2EA8">
      <w:pPr>
        <w:spacing w:line="240" w:lineRule="auto"/>
      </w:pPr>
      <w:r w:rsidRPr="00D24657">
        <w:rPr>
          <w:noProof/>
          <w:lang w:eastAsia="it-IT"/>
        </w:rPr>
        <w:drawing>
          <wp:inline distT="0" distB="0" distL="0" distR="0" wp14:anchorId="4B7D36DA" wp14:editId="1DAE340C">
            <wp:extent cx="4354640" cy="3273977"/>
            <wp:effectExtent l="0" t="0" r="8255" b="3175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1319B3-230D-4CC5-847F-88515BBC4B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2EA8" w:rsidRPr="003F2EA8" w:rsidRDefault="003F2EA8" w:rsidP="003F2EA8">
      <w:pPr>
        <w:spacing w:line="240" w:lineRule="auto"/>
        <w:rPr>
          <w:sz w:val="20"/>
        </w:rPr>
      </w:pPr>
      <w:r>
        <w:rPr>
          <w:sz w:val="20"/>
        </w:rPr>
        <w:t xml:space="preserve">Fonte: Banca d’Italia e stime </w:t>
      </w:r>
      <w:proofErr w:type="spellStart"/>
      <w:r>
        <w:rPr>
          <w:sz w:val="20"/>
        </w:rPr>
        <w:t>Rur</w:t>
      </w:r>
      <w:proofErr w:type="spellEnd"/>
    </w:p>
    <w:p w:rsidR="003F2EA8" w:rsidRPr="003F2EA8" w:rsidRDefault="003F2EA8" w:rsidP="003F2EA8">
      <w:pPr>
        <w:spacing w:before="240" w:after="360" w:line="240" w:lineRule="auto"/>
        <w:ind w:left="567" w:hanging="567"/>
        <w:rPr>
          <w:b/>
          <w:bCs/>
          <w:sz w:val="32"/>
        </w:rPr>
      </w:pPr>
      <w:r>
        <w:rPr>
          <w:b/>
          <w:bCs/>
          <w:sz w:val="32"/>
        </w:rPr>
        <w:t>5.</w:t>
      </w:r>
      <w:r>
        <w:rPr>
          <w:b/>
          <w:bCs/>
          <w:sz w:val="32"/>
        </w:rPr>
        <w:tab/>
        <w:t>Rinforzare il sistema imprenditoriale</w:t>
      </w:r>
    </w:p>
    <w:p w:rsidR="0076204D" w:rsidRDefault="00772F51" w:rsidP="00772F51">
      <w:pPr>
        <w:spacing w:before="120" w:after="120" w:line="240" w:lineRule="auto"/>
        <w:jc w:val="both"/>
      </w:pPr>
      <w:r>
        <w:t xml:space="preserve">Il punto centrale del settore turistico va ritrovato nel rapporto fra i </w:t>
      </w:r>
      <w:r w:rsidRPr="00296DA5">
        <w:rPr>
          <w:b/>
          <w:bCs/>
        </w:rPr>
        <w:t>soggetti pubblici</w:t>
      </w:r>
      <w:r>
        <w:t xml:space="preserve"> (di gestione</w:t>
      </w:r>
      <w:r w:rsidR="00B13E25">
        <w:t xml:space="preserve"> e</w:t>
      </w:r>
      <w:r>
        <w:t xml:space="preserve"> di indirizzo del territorio</w:t>
      </w:r>
      <w:r w:rsidR="00B13E25">
        <w:t>,</w:t>
      </w:r>
      <w:r>
        <w:t xml:space="preserve"> di predisposizione di servizi</w:t>
      </w:r>
      <w:r w:rsidR="00B13E25">
        <w:t xml:space="preserve"> a</w:t>
      </w:r>
      <w:r>
        <w:t xml:space="preserve"> carattere generale</w:t>
      </w:r>
      <w:r w:rsidR="00B13E25">
        <w:t>)</w:t>
      </w:r>
      <w:r>
        <w:t xml:space="preserve"> e di </w:t>
      </w:r>
      <w:r w:rsidRPr="00296DA5">
        <w:rPr>
          <w:b/>
          <w:bCs/>
        </w:rPr>
        <w:t>operatori privati</w:t>
      </w:r>
      <w:r>
        <w:t xml:space="preserve"> dei diversi comparti che costituiscono la componente più attiva e specifica del</w:t>
      </w:r>
      <w:r w:rsidR="00B13E25">
        <w:t xml:space="preserve">le attività turistiche. </w:t>
      </w:r>
      <w:r>
        <w:t xml:space="preserve">E’ quindi indispensabile, come già previsto dagli interventi del PNRR, </w:t>
      </w:r>
      <w:r w:rsidRPr="00B13E25">
        <w:rPr>
          <w:b/>
          <w:bCs/>
        </w:rPr>
        <w:t>consolidare il sistema imprenditoriale affrontando le diverse problematiche proprie di un comparto aziendale di piccole e medie dimensioni</w:t>
      </w:r>
      <w:r>
        <w:t>.</w:t>
      </w:r>
    </w:p>
    <w:p w:rsidR="00772F51" w:rsidRDefault="00772F51" w:rsidP="00772F51">
      <w:pPr>
        <w:spacing w:before="120" w:after="120" w:line="240" w:lineRule="auto"/>
        <w:jc w:val="both"/>
      </w:pPr>
      <w:r>
        <w:t xml:space="preserve">A tal fine è opportuno rafforzare la solidità delle imprese con ogni forma che le possa </w:t>
      </w:r>
      <w:r w:rsidRPr="00B13E25">
        <w:rPr>
          <w:b/>
          <w:bCs/>
        </w:rPr>
        <w:t>aggregare</w:t>
      </w:r>
      <w:r>
        <w:t xml:space="preserve">, </w:t>
      </w:r>
      <w:r w:rsidRPr="00B13E25">
        <w:t>eventualmente sostenendo</w:t>
      </w:r>
      <w:r w:rsidR="00B13E25">
        <w:t xml:space="preserve"> </w:t>
      </w:r>
      <w:r w:rsidR="00B13E25" w:rsidRPr="00B13E25">
        <w:rPr>
          <w:b/>
          <w:bCs/>
        </w:rPr>
        <w:t>Patti consortili e territoriali</w:t>
      </w:r>
      <w:r w:rsidR="00B13E25">
        <w:t>,</w:t>
      </w:r>
      <w:r w:rsidRPr="00B13E25">
        <w:t xml:space="preserve"> le </w:t>
      </w:r>
      <w:r w:rsidR="00B13E25" w:rsidRPr="00B13E25">
        <w:rPr>
          <w:b/>
          <w:bCs/>
        </w:rPr>
        <w:t>R</w:t>
      </w:r>
      <w:r w:rsidRPr="00B13E25">
        <w:rPr>
          <w:b/>
          <w:bCs/>
        </w:rPr>
        <w:t xml:space="preserve">eti di impresa, </w:t>
      </w:r>
      <w:r w:rsidRPr="00B13E25">
        <w:t xml:space="preserve">e </w:t>
      </w:r>
      <w:r w:rsidR="00B13E25" w:rsidRPr="00B13E25">
        <w:t>irrobustendo</w:t>
      </w:r>
      <w:r w:rsidR="00B13E25">
        <w:rPr>
          <w:b/>
          <w:bCs/>
        </w:rPr>
        <w:t xml:space="preserve"> la </w:t>
      </w:r>
      <w:r w:rsidR="00B13E25" w:rsidRPr="00B13E25">
        <w:t xml:space="preserve">capacità di </w:t>
      </w:r>
      <w:r w:rsidR="00B13E25">
        <w:rPr>
          <w:b/>
          <w:bCs/>
        </w:rPr>
        <w:t xml:space="preserve">investimento </w:t>
      </w:r>
      <w:r w:rsidRPr="00B13E25">
        <w:rPr>
          <w:b/>
          <w:bCs/>
        </w:rPr>
        <w:t>favorendo la capitalizzazione</w:t>
      </w:r>
      <w:r>
        <w:t>.</w:t>
      </w:r>
    </w:p>
    <w:p w:rsidR="00772F51" w:rsidRPr="00B13E25" w:rsidRDefault="00772F51" w:rsidP="00772F51">
      <w:pPr>
        <w:spacing w:before="120" w:after="120" w:line="240" w:lineRule="auto"/>
        <w:jc w:val="both"/>
        <w:rPr>
          <w:b/>
          <w:bCs/>
        </w:rPr>
      </w:pPr>
      <w:r>
        <w:t xml:space="preserve">A livello territoriale una maggiore coesione fra le diverse componenti </w:t>
      </w:r>
      <w:r w:rsidR="00EA3839">
        <w:t xml:space="preserve">imprenditoriali è un’arma formidabile per </w:t>
      </w:r>
      <w:r w:rsidR="00B13E25">
        <w:t>ac</w:t>
      </w:r>
      <w:r w:rsidR="00EA3839">
        <w:t xml:space="preserve">crescere la </w:t>
      </w:r>
      <w:r w:rsidR="00EA3839" w:rsidRPr="00B13E25">
        <w:rPr>
          <w:b/>
          <w:bCs/>
        </w:rPr>
        <w:t>competitività delle destinazioni ed integrare in un’offerta complementare diversi prodotti turistici.</w:t>
      </w:r>
    </w:p>
    <w:p w:rsidR="003F2EA8" w:rsidRPr="003F2EA8" w:rsidRDefault="003F2EA8" w:rsidP="003F2EA8">
      <w:pPr>
        <w:spacing w:before="240" w:after="360" w:line="240" w:lineRule="auto"/>
        <w:ind w:left="567" w:hanging="567"/>
        <w:rPr>
          <w:b/>
          <w:bCs/>
          <w:sz w:val="32"/>
        </w:rPr>
      </w:pPr>
      <w:r>
        <w:rPr>
          <w:b/>
          <w:bCs/>
          <w:sz w:val="32"/>
        </w:rPr>
        <w:t>6.</w:t>
      </w:r>
      <w:r>
        <w:rPr>
          <w:b/>
          <w:bCs/>
          <w:sz w:val="32"/>
        </w:rPr>
        <w:tab/>
        <w:t>L’emergenza delle risorse umane</w:t>
      </w:r>
    </w:p>
    <w:p w:rsidR="003F2EA8" w:rsidRDefault="00984373" w:rsidP="00984373">
      <w:pPr>
        <w:spacing w:before="120" w:after="120" w:line="240" w:lineRule="auto"/>
        <w:jc w:val="both"/>
      </w:pPr>
      <w:r>
        <w:t>Seppure il Piano affront</w:t>
      </w:r>
      <w:r w:rsidR="00B13E25">
        <w:t>i</w:t>
      </w:r>
      <w:r>
        <w:t xml:space="preserve"> in maniera dettagliata le strategie per la formazione, quello delle </w:t>
      </w:r>
      <w:r w:rsidRPr="00B13E25">
        <w:rPr>
          <w:b/>
          <w:bCs/>
        </w:rPr>
        <w:t>risorse umane andrebbe posto in maggiore evidenza</w:t>
      </w:r>
      <w:r>
        <w:t xml:space="preserve">, tenuto conto della grave </w:t>
      </w:r>
      <w:r w:rsidRPr="006055D1">
        <w:rPr>
          <w:b/>
          <w:bCs/>
        </w:rPr>
        <w:t>carenza di forze di lavoro</w:t>
      </w:r>
      <w:r>
        <w:t xml:space="preserve"> che</w:t>
      </w:r>
      <w:r w:rsidR="006055D1">
        <w:t>,</w:t>
      </w:r>
      <w:r>
        <w:t xml:space="preserve"> nell’ultimo periodo</w:t>
      </w:r>
      <w:r w:rsidR="006055D1">
        <w:t>, sta</w:t>
      </w:r>
      <w:r>
        <w:t xml:space="preserve"> caratterizzato il comparto turistico.</w:t>
      </w:r>
    </w:p>
    <w:p w:rsidR="00984373" w:rsidRDefault="00984373" w:rsidP="00984373">
      <w:pPr>
        <w:spacing w:before="120" w:after="120" w:line="240" w:lineRule="auto"/>
        <w:jc w:val="both"/>
      </w:pPr>
      <w:r>
        <w:t xml:space="preserve">Se la </w:t>
      </w:r>
      <w:r w:rsidR="006055D1">
        <w:t>mancanza</w:t>
      </w:r>
      <w:r>
        <w:t xml:space="preserve"> di lavor</w:t>
      </w:r>
      <w:r w:rsidR="006055D1">
        <w:t>atori</w:t>
      </w:r>
      <w:r>
        <w:t xml:space="preserve"> in </w:t>
      </w:r>
      <w:r w:rsidR="006055D1">
        <w:t>ambiti</w:t>
      </w:r>
      <w:r>
        <w:t xml:space="preserve"> come la ricettività, la ristorazione, i trasporti dovesse perdurare, ogni altra strategia rischierebbe di essere inefficace perché il sistema delle imprese sarebbe costretto a limitare ogni processo espansi</w:t>
      </w:r>
      <w:r w:rsidR="006055D1">
        <w:t>vo</w:t>
      </w:r>
      <w:r>
        <w:t>.</w:t>
      </w:r>
    </w:p>
    <w:p w:rsidR="00984373" w:rsidRDefault="00984373" w:rsidP="00984373">
      <w:pPr>
        <w:spacing w:before="120" w:after="120" w:line="240" w:lineRule="auto"/>
        <w:jc w:val="both"/>
      </w:pPr>
      <w:r>
        <w:lastRenderedPageBreak/>
        <w:t xml:space="preserve">Da qui la necessità di </w:t>
      </w:r>
      <w:r w:rsidRPr="006055D1">
        <w:rPr>
          <w:b/>
          <w:bCs/>
        </w:rPr>
        <w:t>migliorare le condizioni di lavoro</w:t>
      </w:r>
      <w:r>
        <w:t xml:space="preserve"> per render</w:t>
      </w:r>
      <w:r w:rsidR="006055D1">
        <w:t xml:space="preserve">e il turismo </w:t>
      </w:r>
      <w:r>
        <w:t xml:space="preserve">immediatamente più attrattivo, soprattutto per le giovani generazioni. Nel medio termine è indispensabile accrescere la presenza nel sistema formativo degli </w:t>
      </w:r>
      <w:r w:rsidR="006055D1" w:rsidRPr="006055D1">
        <w:rPr>
          <w:b/>
          <w:bCs/>
        </w:rPr>
        <w:t>I</w:t>
      </w:r>
      <w:r w:rsidRPr="006055D1">
        <w:rPr>
          <w:b/>
          <w:bCs/>
        </w:rPr>
        <w:t>stituti professionali</w:t>
      </w:r>
      <w:r>
        <w:t>, degli</w:t>
      </w:r>
      <w:r w:rsidR="006055D1">
        <w:t xml:space="preserve"> </w:t>
      </w:r>
      <w:r w:rsidR="006055D1" w:rsidRPr="006055D1">
        <w:rPr>
          <w:b/>
          <w:bCs/>
        </w:rPr>
        <w:t>I</w:t>
      </w:r>
      <w:r w:rsidRPr="006055D1">
        <w:rPr>
          <w:b/>
          <w:bCs/>
        </w:rPr>
        <w:t>stituti tecnici</w:t>
      </w:r>
      <w:r>
        <w:t xml:space="preserve">, degli </w:t>
      </w:r>
      <w:r w:rsidRPr="006055D1">
        <w:rPr>
          <w:b/>
          <w:bCs/>
        </w:rPr>
        <w:t>ITS</w:t>
      </w:r>
      <w:r>
        <w:t xml:space="preserve"> specializzati nel formare le diverse competenze indispensabili al comparto.</w:t>
      </w:r>
    </w:p>
    <w:p w:rsidR="00984373" w:rsidRPr="006055D1" w:rsidRDefault="00984373" w:rsidP="00984373">
      <w:pPr>
        <w:spacing w:before="120" w:after="120" w:line="240" w:lineRule="auto"/>
        <w:jc w:val="both"/>
      </w:pPr>
      <w:r>
        <w:t xml:space="preserve">Infine, bisognerebbe dotare l’Italia di un </w:t>
      </w:r>
      <w:r w:rsidRPr="006055D1">
        <w:rPr>
          <w:b/>
          <w:bCs/>
        </w:rPr>
        <w:t>polo di eccellenza</w:t>
      </w:r>
      <w:r>
        <w:t xml:space="preserve"> in grado di integrare ricerca e formazione delle </w:t>
      </w:r>
      <w:r w:rsidRPr="006055D1">
        <w:rPr>
          <w:b/>
          <w:bCs/>
        </w:rPr>
        <w:t>alte professionalità</w:t>
      </w:r>
      <w:r>
        <w:t xml:space="preserve"> prendendo ad esempio l’Istituto Italiano di Tecnologia. Si </w:t>
      </w:r>
      <w:r w:rsidRPr="006055D1">
        <w:rPr>
          <w:b/>
          <w:bCs/>
        </w:rPr>
        <w:t xml:space="preserve">auspica pertanto la nascita di un </w:t>
      </w:r>
      <w:r w:rsidR="00634386" w:rsidRPr="006055D1">
        <w:rPr>
          <w:b/>
          <w:bCs/>
        </w:rPr>
        <w:t>I</w:t>
      </w:r>
      <w:r w:rsidRPr="006055D1">
        <w:rPr>
          <w:b/>
          <w:bCs/>
        </w:rPr>
        <w:t xml:space="preserve">IT </w:t>
      </w:r>
      <w:r w:rsidR="00634386" w:rsidRPr="006055D1">
        <w:rPr>
          <w:b/>
          <w:bCs/>
        </w:rPr>
        <w:t>-</w:t>
      </w:r>
      <w:r w:rsidRPr="006055D1">
        <w:rPr>
          <w:b/>
          <w:bCs/>
        </w:rPr>
        <w:t xml:space="preserve"> Istituto Italiano per il Turismo</w:t>
      </w:r>
      <w:r w:rsidR="006055D1">
        <w:rPr>
          <w:b/>
          <w:bCs/>
        </w:rPr>
        <w:t xml:space="preserve"> </w:t>
      </w:r>
      <w:r w:rsidR="006055D1">
        <w:t xml:space="preserve">cui il </w:t>
      </w:r>
      <w:r w:rsidR="006055D1" w:rsidRPr="00296DA5">
        <w:rPr>
          <w:b/>
          <w:bCs/>
        </w:rPr>
        <w:t>Touring Club Italiano</w:t>
      </w:r>
      <w:r w:rsidR="006055D1">
        <w:t xml:space="preserve"> potrà fornire l’accumulazione delle sue conoscenze dell’Italia e l’esperienza di produttore di ricerca per i viaggiatori.</w:t>
      </w:r>
    </w:p>
    <w:sectPr w:rsidR="00984373" w:rsidRPr="006055D1" w:rsidSect="00940E6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2E" w:rsidRDefault="004B312E" w:rsidP="00EA3839">
      <w:pPr>
        <w:spacing w:after="0" w:line="240" w:lineRule="auto"/>
      </w:pPr>
      <w:r>
        <w:separator/>
      </w:r>
    </w:p>
  </w:endnote>
  <w:endnote w:type="continuationSeparator" w:id="0">
    <w:p w:rsidR="004B312E" w:rsidRDefault="004B312E" w:rsidP="00EA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94337"/>
      <w:docPartObj>
        <w:docPartGallery w:val="Page Numbers (Bottom of Page)"/>
        <w:docPartUnique/>
      </w:docPartObj>
    </w:sdtPr>
    <w:sdtEndPr/>
    <w:sdtContent>
      <w:p w:rsidR="00EA3839" w:rsidRDefault="00EA383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D33">
          <w:rPr>
            <w:noProof/>
          </w:rPr>
          <w:t>7</w:t>
        </w:r>
        <w:r>
          <w:fldChar w:fldCharType="end"/>
        </w:r>
      </w:p>
    </w:sdtContent>
  </w:sdt>
  <w:p w:rsidR="00EA3839" w:rsidRDefault="00EA3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2E" w:rsidRDefault="004B312E" w:rsidP="00EA3839">
      <w:pPr>
        <w:spacing w:after="0" w:line="240" w:lineRule="auto"/>
      </w:pPr>
      <w:r>
        <w:separator/>
      </w:r>
    </w:p>
  </w:footnote>
  <w:footnote w:type="continuationSeparator" w:id="0">
    <w:p w:rsidR="004B312E" w:rsidRDefault="004B312E" w:rsidP="00EA3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4D"/>
    <w:rsid w:val="000E04FB"/>
    <w:rsid w:val="00296DA5"/>
    <w:rsid w:val="003974AE"/>
    <w:rsid w:val="003E7EF8"/>
    <w:rsid w:val="003F2EA8"/>
    <w:rsid w:val="004A3ADC"/>
    <w:rsid w:val="004B312E"/>
    <w:rsid w:val="006055D1"/>
    <w:rsid w:val="00634386"/>
    <w:rsid w:val="00723CFB"/>
    <w:rsid w:val="00751D33"/>
    <w:rsid w:val="0076204D"/>
    <w:rsid w:val="00772F51"/>
    <w:rsid w:val="00820ECA"/>
    <w:rsid w:val="008A6E47"/>
    <w:rsid w:val="008D1F1E"/>
    <w:rsid w:val="00940E63"/>
    <w:rsid w:val="00984373"/>
    <w:rsid w:val="00A218BE"/>
    <w:rsid w:val="00A50DB1"/>
    <w:rsid w:val="00AA5240"/>
    <w:rsid w:val="00B13E25"/>
    <w:rsid w:val="00BD725D"/>
    <w:rsid w:val="00CC4E59"/>
    <w:rsid w:val="00D515DF"/>
    <w:rsid w:val="00DD453E"/>
    <w:rsid w:val="00E22E88"/>
    <w:rsid w:val="00E60AB7"/>
    <w:rsid w:val="00E75C32"/>
    <w:rsid w:val="00EA3839"/>
    <w:rsid w:val="00ED2C42"/>
    <w:rsid w:val="00F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EA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F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A3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839"/>
  </w:style>
  <w:style w:type="paragraph" w:styleId="Pidipagina">
    <w:name w:val="footer"/>
    <w:basedOn w:val="Normale"/>
    <w:link w:val="PidipaginaCarattere"/>
    <w:uiPriority w:val="99"/>
    <w:unhideWhenUsed/>
    <w:rsid w:val="00EA3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8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EA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F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A3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839"/>
  </w:style>
  <w:style w:type="paragraph" w:styleId="Pidipagina">
    <w:name w:val="footer"/>
    <w:basedOn w:val="Normale"/>
    <w:link w:val="PidipaginaCarattere"/>
    <w:uiPriority w:val="99"/>
    <w:unhideWhenUsed/>
    <w:rsid w:val="00EA3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8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roma1\Downloads\25c9d804-8951-4494-960b-10104d8f18ba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Foglio_di_lavoro_di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Foglio_di_lavoro_di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3.xlsx"/><Relationship Id="rId4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Foglio_di_lavoro_di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Foglio_di_lavoro_di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Foglio2!$B$1</c:f>
              <c:strCache>
                <c:ptCount val="1"/>
                <c:pt idx="0">
                  <c:v>Arrivi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Foglio2!$A$2:$A$27</c:f>
              <c:strCache>
                <c:ptCount val="26"/>
                <c:pt idx="0">
                  <c:v>Gen-2021</c:v>
                </c:pt>
                <c:pt idx="1">
                  <c:v>Feb-2021</c:v>
                </c:pt>
                <c:pt idx="2">
                  <c:v>Mar-2021</c:v>
                </c:pt>
                <c:pt idx="3">
                  <c:v>Apr-2021</c:v>
                </c:pt>
                <c:pt idx="4">
                  <c:v>Mag-2021</c:v>
                </c:pt>
                <c:pt idx="5">
                  <c:v>Giu-2021</c:v>
                </c:pt>
                <c:pt idx="6">
                  <c:v>Lug-2021</c:v>
                </c:pt>
                <c:pt idx="7">
                  <c:v>Ago-2021</c:v>
                </c:pt>
                <c:pt idx="8">
                  <c:v>Set-2021</c:v>
                </c:pt>
                <c:pt idx="9">
                  <c:v>Ott-2021</c:v>
                </c:pt>
                <c:pt idx="10">
                  <c:v>Nov-2021</c:v>
                </c:pt>
                <c:pt idx="11">
                  <c:v>Dic-2021</c:v>
                </c:pt>
                <c:pt idx="12">
                  <c:v>  Gen-2022</c:v>
                </c:pt>
                <c:pt idx="13">
                  <c:v>  Feb-2022</c:v>
                </c:pt>
                <c:pt idx="14">
                  <c:v>  Mar-2022</c:v>
                </c:pt>
                <c:pt idx="15">
                  <c:v>  Apr-2022</c:v>
                </c:pt>
                <c:pt idx="16">
                  <c:v>  Mag-2022</c:v>
                </c:pt>
                <c:pt idx="17">
                  <c:v>  Giu-2022</c:v>
                </c:pt>
                <c:pt idx="18">
                  <c:v>  Lug-2022</c:v>
                </c:pt>
                <c:pt idx="19">
                  <c:v>  Ago-2022</c:v>
                </c:pt>
                <c:pt idx="20">
                  <c:v>  Set-2022</c:v>
                </c:pt>
                <c:pt idx="21">
                  <c:v>  Ott-2022</c:v>
                </c:pt>
                <c:pt idx="22">
                  <c:v>  Nov-2022</c:v>
                </c:pt>
                <c:pt idx="23">
                  <c:v>  Dic-2022</c:v>
                </c:pt>
                <c:pt idx="24">
                  <c:v>  Gen-2023</c:v>
                </c:pt>
                <c:pt idx="25">
                  <c:v>  Feb-2023</c:v>
                </c:pt>
              </c:strCache>
            </c:strRef>
          </c:cat>
          <c:val>
            <c:numRef>
              <c:f>Foglio2!$B$2:$B$27</c:f>
              <c:numCache>
                <c:formatCode>#,##0.00</c:formatCode>
                <c:ptCount val="26"/>
                <c:pt idx="0">
                  <c:v>1077992</c:v>
                </c:pt>
                <c:pt idx="1">
                  <c:v>1616787</c:v>
                </c:pt>
                <c:pt idx="2">
                  <c:v>1282589</c:v>
                </c:pt>
                <c:pt idx="3">
                  <c:v>1390210</c:v>
                </c:pt>
                <c:pt idx="4">
                  <c:v>4224593</c:v>
                </c:pt>
                <c:pt idx="5">
                  <c:v>8878216</c:v>
                </c:pt>
                <c:pt idx="6">
                  <c:v>14791631</c:v>
                </c:pt>
                <c:pt idx="7">
                  <c:v>16759492</c:v>
                </c:pt>
                <c:pt idx="8">
                  <c:v>11044624</c:v>
                </c:pt>
                <c:pt idx="9">
                  <c:v>8419240</c:v>
                </c:pt>
                <c:pt idx="10">
                  <c:v>4365064</c:v>
                </c:pt>
                <c:pt idx="11">
                  <c:v>4820529</c:v>
                </c:pt>
                <c:pt idx="12">
                  <c:v>3746274</c:v>
                </c:pt>
                <c:pt idx="13">
                  <c:v>4368995</c:v>
                </c:pt>
                <c:pt idx="14">
                  <c:v>4815588</c:v>
                </c:pt>
                <c:pt idx="15">
                  <c:v>8025903</c:v>
                </c:pt>
                <c:pt idx="16">
                  <c:v>9384405</c:v>
                </c:pt>
                <c:pt idx="17">
                  <c:v>13505560</c:v>
                </c:pt>
                <c:pt idx="18">
                  <c:v>16393849</c:v>
                </c:pt>
                <c:pt idx="19">
                  <c:v>16646852</c:v>
                </c:pt>
                <c:pt idx="20">
                  <c:v>12126545</c:v>
                </c:pt>
                <c:pt idx="21">
                  <c:v>9246609</c:v>
                </c:pt>
                <c:pt idx="22">
                  <c:v>4973677</c:v>
                </c:pt>
                <c:pt idx="23">
                  <c:v>6170639</c:v>
                </c:pt>
                <c:pt idx="24">
                  <c:v>5769311</c:v>
                </c:pt>
                <c:pt idx="25">
                  <c:v>5850879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45-4B88-85DA-5F074A14D7CD}"/>
            </c:ext>
          </c:extLst>
        </c:ser>
        <c:ser>
          <c:idx val="1"/>
          <c:order val="1"/>
          <c:tx>
            <c:strRef>
              <c:f>Foglio2!$C$1</c:f>
              <c:strCache>
                <c:ptCount val="1"/>
                <c:pt idx="0">
                  <c:v>Presenze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Foglio2!$A$2:$A$27</c:f>
              <c:strCache>
                <c:ptCount val="26"/>
                <c:pt idx="0">
                  <c:v>Gen-2021</c:v>
                </c:pt>
                <c:pt idx="1">
                  <c:v>Feb-2021</c:v>
                </c:pt>
                <c:pt idx="2">
                  <c:v>Mar-2021</c:v>
                </c:pt>
                <c:pt idx="3">
                  <c:v>Apr-2021</c:v>
                </c:pt>
                <c:pt idx="4">
                  <c:v>Mag-2021</c:v>
                </c:pt>
                <c:pt idx="5">
                  <c:v>Giu-2021</c:v>
                </c:pt>
                <c:pt idx="6">
                  <c:v>Lug-2021</c:v>
                </c:pt>
                <c:pt idx="7">
                  <c:v>Ago-2021</c:v>
                </c:pt>
                <c:pt idx="8">
                  <c:v>Set-2021</c:v>
                </c:pt>
                <c:pt idx="9">
                  <c:v>Ott-2021</c:v>
                </c:pt>
                <c:pt idx="10">
                  <c:v>Nov-2021</c:v>
                </c:pt>
                <c:pt idx="11">
                  <c:v>Dic-2021</c:v>
                </c:pt>
                <c:pt idx="12">
                  <c:v>  Gen-2022</c:v>
                </c:pt>
                <c:pt idx="13">
                  <c:v>  Feb-2022</c:v>
                </c:pt>
                <c:pt idx="14">
                  <c:v>  Mar-2022</c:v>
                </c:pt>
                <c:pt idx="15">
                  <c:v>  Apr-2022</c:v>
                </c:pt>
                <c:pt idx="16">
                  <c:v>  Mag-2022</c:v>
                </c:pt>
                <c:pt idx="17">
                  <c:v>  Giu-2022</c:v>
                </c:pt>
                <c:pt idx="18">
                  <c:v>  Lug-2022</c:v>
                </c:pt>
                <c:pt idx="19">
                  <c:v>  Ago-2022</c:v>
                </c:pt>
                <c:pt idx="20">
                  <c:v>  Set-2022</c:v>
                </c:pt>
                <c:pt idx="21">
                  <c:v>  Ott-2022</c:v>
                </c:pt>
                <c:pt idx="22">
                  <c:v>  Nov-2022</c:v>
                </c:pt>
                <c:pt idx="23">
                  <c:v>  Dic-2022</c:v>
                </c:pt>
                <c:pt idx="24">
                  <c:v>  Gen-2023</c:v>
                </c:pt>
                <c:pt idx="25">
                  <c:v>  Feb-2023</c:v>
                </c:pt>
              </c:strCache>
            </c:strRef>
          </c:cat>
          <c:val>
            <c:numRef>
              <c:f>Foglio2!$C$2:$C$27</c:f>
              <c:numCache>
                <c:formatCode>#,##0.00</c:formatCode>
                <c:ptCount val="26"/>
                <c:pt idx="0">
                  <c:v>3523071</c:v>
                </c:pt>
                <c:pt idx="1">
                  <c:v>4439497</c:v>
                </c:pt>
                <c:pt idx="2">
                  <c:v>4247842</c:v>
                </c:pt>
                <c:pt idx="3">
                  <c:v>4288406</c:v>
                </c:pt>
                <c:pt idx="4">
                  <c:v>11333102</c:v>
                </c:pt>
                <c:pt idx="5">
                  <c:v>30504121</c:v>
                </c:pt>
                <c:pt idx="6">
                  <c:v>61842706</c:v>
                </c:pt>
                <c:pt idx="7">
                  <c:v>79734403</c:v>
                </c:pt>
                <c:pt idx="8">
                  <c:v>41575248</c:v>
                </c:pt>
                <c:pt idx="9">
                  <c:v>22441211</c:v>
                </c:pt>
                <c:pt idx="10">
                  <c:v>11723237</c:v>
                </c:pt>
                <c:pt idx="11">
                  <c:v>13525298</c:v>
                </c:pt>
                <c:pt idx="12">
                  <c:v>12265877</c:v>
                </c:pt>
                <c:pt idx="13">
                  <c:v>13193202</c:v>
                </c:pt>
                <c:pt idx="14">
                  <c:v>15352873</c:v>
                </c:pt>
                <c:pt idx="15">
                  <c:v>23151519</c:v>
                </c:pt>
                <c:pt idx="16">
                  <c:v>27881116</c:v>
                </c:pt>
                <c:pt idx="17">
                  <c:v>49982620</c:v>
                </c:pt>
                <c:pt idx="18">
                  <c:v>69550116</c:v>
                </c:pt>
                <c:pt idx="19">
                  <c:v>80882838</c:v>
                </c:pt>
                <c:pt idx="20">
                  <c:v>45632335</c:v>
                </c:pt>
                <c:pt idx="21">
                  <c:v>27135770</c:v>
                </c:pt>
                <c:pt idx="22">
                  <c:v>14107449</c:v>
                </c:pt>
                <c:pt idx="23">
                  <c:v>17098264</c:v>
                </c:pt>
                <c:pt idx="24">
                  <c:v>18076900</c:v>
                </c:pt>
                <c:pt idx="25">
                  <c:v>18966490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45-4B88-85DA-5F074A14D7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447168"/>
        <c:axId val="145457152"/>
      </c:barChart>
      <c:catAx>
        <c:axId val="14544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457152"/>
        <c:crosses val="autoZero"/>
        <c:auto val="1"/>
        <c:lblAlgn val="ctr"/>
        <c:lblOffset val="100"/>
        <c:noMultiLvlLbl val="0"/>
      </c:catAx>
      <c:valAx>
        <c:axId val="145457152"/>
        <c:scaling>
          <c:orientation val="minMax"/>
          <c:max val="8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44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Valore aggiunto Commercio-Turismo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Foglio1!$A$2:$A$9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2012</c:v>
                </c:pt>
                <c:pt idx="2">
                  <c:v>2015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Foglio1!$B$2:$B$9</c:f>
              <c:numCache>
                <c:formatCode>General</c:formatCode>
                <c:ptCount val="8"/>
                <c:pt idx="0">
                  <c:v>100</c:v>
                </c:pt>
                <c:pt idx="1">
                  <c:v>98</c:v>
                </c:pt>
                <c:pt idx="2">
                  <c:v>103.9</c:v>
                </c:pt>
                <c:pt idx="3">
                  <c:v>120.9</c:v>
                </c:pt>
                <c:pt idx="4">
                  <c:v>121.3</c:v>
                </c:pt>
                <c:pt idx="5">
                  <c:v>113.4</c:v>
                </c:pt>
                <c:pt idx="6">
                  <c:v>115</c:v>
                </c:pt>
                <c:pt idx="7">
                  <c:v>116.2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053-43C8-9E37-D9EC738DC6E1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Presenze turistiche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Foglio1!$A$2:$A$9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2012</c:v>
                </c:pt>
                <c:pt idx="2">
                  <c:v>2015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Foglio1!$C$2:$C$9</c:f>
              <c:numCache>
                <c:formatCode>General</c:formatCode>
                <c:ptCount val="8"/>
                <c:pt idx="0">
                  <c:v>100</c:v>
                </c:pt>
                <c:pt idx="1">
                  <c:v>112.1</c:v>
                </c:pt>
                <c:pt idx="2">
                  <c:v>128.30000000000001</c:v>
                </c:pt>
                <c:pt idx="3">
                  <c:v>171.3</c:v>
                </c:pt>
                <c:pt idx="4">
                  <c:v>175.8</c:v>
                </c:pt>
                <c:pt idx="5">
                  <c:v>35.5</c:v>
                </c:pt>
                <c:pt idx="6">
                  <c:v>72</c:v>
                </c:pt>
                <c:pt idx="7">
                  <c:v>89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053-43C8-9E37-D9EC738DC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478016"/>
        <c:axId val="145479552"/>
      </c:lineChart>
      <c:catAx>
        <c:axId val="14547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479552"/>
        <c:crosses val="autoZero"/>
        <c:auto val="1"/>
        <c:lblAlgn val="ctr"/>
        <c:lblOffset val="100"/>
        <c:noMultiLvlLbl val="0"/>
      </c:catAx>
      <c:valAx>
        <c:axId val="14547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547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Migliaia visitatori 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Foglio1!$A$2:$A$19</c:f>
              <c:strCache>
                <c:ptCount val="16"/>
                <c:pt idx="0">
                  <c:v>Abruzzo</c:v>
                </c:pt>
                <c:pt idx="1">
                  <c:v>Molise</c:v>
                </c:pt>
                <c:pt idx="2">
                  <c:v>Liguria</c:v>
                </c:pt>
                <c:pt idx="3">
                  <c:v>Umbria</c:v>
                </c:pt>
                <c:pt idx="4">
                  <c:v>Basilicata</c:v>
                </c:pt>
                <c:pt idx="5">
                  <c:v>Calabria</c:v>
                </c:pt>
                <c:pt idx="6">
                  <c:v>Sardegna</c:v>
                </c:pt>
                <c:pt idx="7">
                  <c:v>Marche</c:v>
                </c:pt>
                <c:pt idx="8">
                  <c:v>Puglia</c:v>
                </c:pt>
                <c:pt idx="9">
                  <c:v>Veneto</c:v>
                </c:pt>
                <c:pt idx="10">
                  <c:v>Emilia Romagna</c:v>
                </c:pt>
                <c:pt idx="11">
                  <c:v>Friuli V.G.</c:v>
                </c:pt>
                <c:pt idx="12">
                  <c:v>Lombardia</c:v>
                </c:pt>
                <c:pt idx="13">
                  <c:v>TOSCANA</c:v>
                </c:pt>
                <c:pt idx="14">
                  <c:v>CAMPANIA</c:v>
                </c:pt>
                <c:pt idx="15">
                  <c:v>LAZIO</c:v>
                </c:pt>
              </c:strCache>
            </c:strRef>
          </c:cat>
          <c:val>
            <c:numRef>
              <c:f>Foglio1!$B$2:$B$19</c:f>
              <c:numCache>
                <c:formatCode>General</c:formatCode>
                <c:ptCount val="18"/>
                <c:pt idx="0">
                  <c:v>55</c:v>
                </c:pt>
                <c:pt idx="1">
                  <c:v>58</c:v>
                </c:pt>
                <c:pt idx="2">
                  <c:v>61</c:v>
                </c:pt>
                <c:pt idx="3">
                  <c:v>107</c:v>
                </c:pt>
                <c:pt idx="4">
                  <c:v>141</c:v>
                </c:pt>
                <c:pt idx="5">
                  <c:v>210</c:v>
                </c:pt>
                <c:pt idx="6">
                  <c:v>242</c:v>
                </c:pt>
                <c:pt idx="7">
                  <c:v>257</c:v>
                </c:pt>
                <c:pt idx="8">
                  <c:v>259</c:v>
                </c:pt>
                <c:pt idx="9">
                  <c:v>438</c:v>
                </c:pt>
                <c:pt idx="10">
                  <c:v>473</c:v>
                </c:pt>
                <c:pt idx="11">
                  <c:v>631</c:v>
                </c:pt>
                <c:pt idx="12">
                  <c:v>757</c:v>
                </c:pt>
                <c:pt idx="13" formatCode="#,##0">
                  <c:v>2654</c:v>
                </c:pt>
                <c:pt idx="14" formatCode="#,##0">
                  <c:v>4222</c:v>
                </c:pt>
                <c:pt idx="15" formatCode="#,##0">
                  <c:v>5326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A2-4316-A2C7-8F31554987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29107200"/>
        <c:axId val="229114240"/>
      </c:barChart>
      <c:catAx>
        <c:axId val="22910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29114240"/>
        <c:crosses val="autoZero"/>
        <c:auto val="1"/>
        <c:lblAlgn val="ctr"/>
        <c:lblOffset val="100"/>
        <c:noMultiLvlLbl val="0"/>
      </c:catAx>
      <c:valAx>
        <c:axId val="229114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29107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573961884474484"/>
          <c:y val="4.6575582268125727E-2"/>
          <c:w val="0.75020374243442589"/>
          <c:h val="0.845859856766325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94000"/>
                    <a:satMod val="103000"/>
                    <a:lumMod val="102000"/>
                  </a:schemeClr>
                </a:gs>
                <a:gs pos="50000">
                  <a:schemeClr val="accent1">
                    <a:shade val="100000"/>
                    <a:satMod val="110000"/>
                    <a:lumMod val="100000"/>
                  </a:schemeClr>
                </a:gs>
                <a:gs pos="100000">
                  <a:schemeClr val="accent1">
                    <a:shade val="78000"/>
                    <a:satMod val="120000"/>
                    <a:lumMod val="99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Foglio1!$A$2:$A$12</c:f>
              <c:strCache>
                <c:ptCount val="11"/>
                <c:pt idx="0">
                  <c:v>Scavi OSTIA ANTICA</c:v>
                </c:pt>
                <c:pt idx="1">
                  <c:v>Museo Naz.Romano ROMA</c:v>
                </c:pt>
                <c:pt idx="2">
                  <c:v>Brera MILANO</c:v>
                </c:pt>
                <c:pt idx="4">
                  <c:v>Reggia di CASERTA</c:v>
                </c:pt>
                <c:pt idx="5">
                  <c:v>Museo Egizio TORINO</c:v>
                </c:pt>
                <c:pt idx="6">
                  <c:v>Castel Sant'Angelo ROMA</c:v>
                </c:pt>
                <c:pt idx="7">
                  <c:v>Accademia FRENZE</c:v>
                </c:pt>
                <c:pt idx="8">
                  <c:v>Uffizi FIRENZE</c:v>
                </c:pt>
                <c:pt idx="9">
                  <c:v>Scavi di POMPEI</c:v>
                </c:pt>
                <c:pt idx="10">
                  <c:v>Colosseo ROMA</c:v>
                </c:pt>
              </c:strCache>
            </c:strRef>
          </c:cat>
          <c:val>
            <c:numRef>
              <c:f>Foglio1!$B$2:$B$12</c:f>
              <c:numCache>
                <c:formatCode>General</c:formatCode>
                <c:ptCount val="11"/>
                <c:pt idx="0">
                  <c:v>0.311</c:v>
                </c:pt>
                <c:pt idx="1">
                  <c:v>0.32900000000000001</c:v>
                </c:pt>
                <c:pt idx="2">
                  <c:v>0.36499999999999999</c:v>
                </c:pt>
                <c:pt idx="4">
                  <c:v>0.83599999999999997</c:v>
                </c:pt>
                <c:pt idx="5">
                  <c:v>0.85</c:v>
                </c:pt>
                <c:pt idx="6">
                  <c:v>1.2</c:v>
                </c:pt>
                <c:pt idx="7">
                  <c:v>1.6</c:v>
                </c:pt>
                <c:pt idx="8">
                  <c:v>2.2000000000000002</c:v>
                </c:pt>
                <c:pt idx="9">
                  <c:v>3.4</c:v>
                </c:pt>
                <c:pt idx="1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54-45A8-9F37-812977F04241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94000"/>
                    <a:satMod val="103000"/>
                    <a:lumMod val="102000"/>
                  </a:schemeClr>
                </a:gs>
                <a:gs pos="50000">
                  <a:schemeClr val="accent2">
                    <a:shade val="100000"/>
                    <a:satMod val="110000"/>
                    <a:lumMod val="100000"/>
                  </a:schemeClr>
                </a:gs>
                <a:gs pos="100000">
                  <a:schemeClr val="accent2">
                    <a:shade val="78000"/>
                    <a:satMod val="120000"/>
                    <a:lumMod val="99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Foglio1!$A$2:$A$12</c:f>
              <c:strCache>
                <c:ptCount val="11"/>
                <c:pt idx="0">
                  <c:v>Scavi OSTIA ANTICA</c:v>
                </c:pt>
                <c:pt idx="1">
                  <c:v>Museo Naz.Romano ROMA</c:v>
                </c:pt>
                <c:pt idx="2">
                  <c:v>Brera MILANO</c:v>
                </c:pt>
                <c:pt idx="4">
                  <c:v>Reggia di CASERTA</c:v>
                </c:pt>
                <c:pt idx="5">
                  <c:v>Museo Egizio TORINO</c:v>
                </c:pt>
                <c:pt idx="6">
                  <c:v>Castel Sant'Angelo ROMA</c:v>
                </c:pt>
                <c:pt idx="7">
                  <c:v>Accademia FRENZE</c:v>
                </c:pt>
                <c:pt idx="8">
                  <c:v>Uffizi FIRENZE</c:v>
                </c:pt>
                <c:pt idx="9">
                  <c:v>Scavi di POMPEI</c:v>
                </c:pt>
                <c:pt idx="10">
                  <c:v>Colosseo ROMA</c:v>
                </c:pt>
              </c:strCache>
            </c:strRef>
          </c:cat>
          <c:val>
            <c:numRef>
              <c:f>Foglio1!$C$2:$C$12</c:f>
              <c:numCache>
                <c:formatCode>General</c:formatCode>
                <c:ptCount val="11"/>
                <c:pt idx="0">
                  <c:v>0.30199999999999999</c:v>
                </c:pt>
                <c:pt idx="1">
                  <c:v>0.35</c:v>
                </c:pt>
                <c:pt idx="2">
                  <c:v>0.38600000000000001</c:v>
                </c:pt>
                <c:pt idx="4">
                  <c:v>0.84499999999999997</c:v>
                </c:pt>
                <c:pt idx="5">
                  <c:v>0.84899999999999998</c:v>
                </c:pt>
                <c:pt idx="6">
                  <c:v>1.1000000000000001</c:v>
                </c:pt>
                <c:pt idx="7">
                  <c:v>1.7</c:v>
                </c:pt>
                <c:pt idx="8">
                  <c:v>2.2000000000000002</c:v>
                </c:pt>
                <c:pt idx="9">
                  <c:v>3.7</c:v>
                </c:pt>
                <c:pt idx="10">
                  <c:v>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54-45A8-9F37-812977F04241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94000"/>
                    <a:satMod val="103000"/>
                    <a:lumMod val="102000"/>
                  </a:schemeClr>
                </a:gs>
                <a:gs pos="50000">
                  <a:schemeClr val="accent3">
                    <a:shade val="100000"/>
                    <a:satMod val="110000"/>
                    <a:lumMod val="100000"/>
                  </a:schemeClr>
                </a:gs>
                <a:gs pos="100000">
                  <a:schemeClr val="accent3">
                    <a:shade val="78000"/>
                    <a:satMod val="120000"/>
                    <a:lumMod val="99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Foglio1!$A$2:$A$12</c:f>
              <c:strCache>
                <c:ptCount val="11"/>
                <c:pt idx="0">
                  <c:v>Scavi OSTIA ANTICA</c:v>
                </c:pt>
                <c:pt idx="1">
                  <c:v>Museo Naz.Romano ROMA</c:v>
                </c:pt>
                <c:pt idx="2">
                  <c:v>Brera MILANO</c:v>
                </c:pt>
                <c:pt idx="4">
                  <c:v>Reggia di CASERTA</c:v>
                </c:pt>
                <c:pt idx="5">
                  <c:v>Museo Egizio TORINO</c:v>
                </c:pt>
                <c:pt idx="6">
                  <c:v>Castel Sant'Angelo ROMA</c:v>
                </c:pt>
                <c:pt idx="7">
                  <c:v>Accademia FRENZE</c:v>
                </c:pt>
                <c:pt idx="8">
                  <c:v>Uffizi FIRENZE</c:v>
                </c:pt>
                <c:pt idx="9">
                  <c:v>Scavi di POMPEI</c:v>
                </c:pt>
                <c:pt idx="10">
                  <c:v>Colosseo ROMA</c:v>
                </c:pt>
              </c:strCache>
            </c:strRef>
          </c:cat>
          <c:val>
            <c:numRef>
              <c:f>Foglio1!$D$2:$D$12</c:f>
              <c:numCache>
                <c:formatCode>General</c:formatCode>
                <c:ptCount val="11"/>
                <c:pt idx="0">
                  <c:v>0.32200000000000001</c:v>
                </c:pt>
                <c:pt idx="1">
                  <c:v>0.33100000000000002</c:v>
                </c:pt>
                <c:pt idx="2">
                  <c:v>0.41799999999999998</c:v>
                </c:pt>
                <c:pt idx="4">
                  <c:v>0.72799999999999998</c:v>
                </c:pt>
                <c:pt idx="5">
                  <c:v>0.85299999999999998</c:v>
                </c:pt>
                <c:pt idx="6">
                  <c:v>1.2</c:v>
                </c:pt>
                <c:pt idx="7">
                  <c:v>1.7</c:v>
                </c:pt>
                <c:pt idx="8">
                  <c:v>4.4000000000000004</c:v>
                </c:pt>
                <c:pt idx="9">
                  <c:v>3.9</c:v>
                </c:pt>
                <c:pt idx="10">
                  <c:v>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54-45A8-9F37-812977F04241}"/>
            </c:ext>
          </c:extLst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94000"/>
                    <a:satMod val="103000"/>
                    <a:lumMod val="102000"/>
                  </a:schemeClr>
                </a:gs>
                <a:gs pos="50000">
                  <a:schemeClr val="accent4">
                    <a:shade val="100000"/>
                    <a:satMod val="110000"/>
                    <a:lumMod val="100000"/>
                  </a:schemeClr>
                </a:gs>
                <a:gs pos="100000">
                  <a:schemeClr val="accent4">
                    <a:shade val="78000"/>
                    <a:satMod val="120000"/>
                    <a:lumMod val="99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Foglio1!$A$2:$A$12</c:f>
              <c:strCache>
                <c:ptCount val="11"/>
                <c:pt idx="0">
                  <c:v>Scavi OSTIA ANTICA</c:v>
                </c:pt>
                <c:pt idx="1">
                  <c:v>Museo Naz.Romano ROMA</c:v>
                </c:pt>
                <c:pt idx="2">
                  <c:v>Brera MILANO</c:v>
                </c:pt>
                <c:pt idx="4">
                  <c:v>Reggia di CASERTA</c:v>
                </c:pt>
                <c:pt idx="5">
                  <c:v>Museo Egizio TORINO</c:v>
                </c:pt>
                <c:pt idx="6">
                  <c:v>Castel Sant'Angelo ROMA</c:v>
                </c:pt>
                <c:pt idx="7">
                  <c:v>Accademia FRENZE</c:v>
                </c:pt>
                <c:pt idx="8">
                  <c:v>Uffizi FIRENZE</c:v>
                </c:pt>
                <c:pt idx="9">
                  <c:v>Scavi di POMPEI</c:v>
                </c:pt>
                <c:pt idx="10">
                  <c:v>Colosseo ROMA</c:v>
                </c:pt>
              </c:strCache>
            </c:strRef>
          </c:cat>
          <c:val>
            <c:numRef>
              <c:f>Foglio1!$E$2:$E$12</c:f>
              <c:numCache>
                <c:formatCode>General</c:formatCode>
                <c:ptCount val="11"/>
                <c:pt idx="0">
                  <c:v>7.0000000000000007E-2</c:v>
                </c:pt>
                <c:pt idx="1">
                  <c:v>7.4999999999999997E-2</c:v>
                </c:pt>
                <c:pt idx="2">
                  <c:v>0.112</c:v>
                </c:pt>
                <c:pt idx="4">
                  <c:v>0.29399999999999998</c:v>
                </c:pt>
                <c:pt idx="5">
                  <c:v>0.24099999999999999</c:v>
                </c:pt>
                <c:pt idx="6">
                  <c:v>0.22</c:v>
                </c:pt>
                <c:pt idx="7">
                  <c:v>0.31900000000000001</c:v>
                </c:pt>
                <c:pt idx="8">
                  <c:v>1.2</c:v>
                </c:pt>
                <c:pt idx="9">
                  <c:v>0.59799999999999998</c:v>
                </c:pt>
                <c:pt idx="10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554-45A8-9F37-812977F04241}"/>
            </c:ext>
          </c:extLst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94000"/>
                    <a:satMod val="103000"/>
                    <a:lumMod val="102000"/>
                  </a:schemeClr>
                </a:gs>
                <a:gs pos="50000">
                  <a:schemeClr val="accent5">
                    <a:shade val="100000"/>
                    <a:satMod val="110000"/>
                    <a:lumMod val="100000"/>
                  </a:schemeClr>
                </a:gs>
                <a:gs pos="100000">
                  <a:schemeClr val="accent5">
                    <a:shade val="78000"/>
                    <a:satMod val="120000"/>
                    <a:lumMod val="99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Foglio1!$A$2:$A$12</c:f>
              <c:strCache>
                <c:ptCount val="11"/>
                <c:pt idx="0">
                  <c:v>Scavi OSTIA ANTICA</c:v>
                </c:pt>
                <c:pt idx="1">
                  <c:v>Museo Naz.Romano ROMA</c:v>
                </c:pt>
                <c:pt idx="2">
                  <c:v>Brera MILANO</c:v>
                </c:pt>
                <c:pt idx="4">
                  <c:v>Reggia di CASERTA</c:v>
                </c:pt>
                <c:pt idx="5">
                  <c:v>Museo Egizio TORINO</c:v>
                </c:pt>
                <c:pt idx="6">
                  <c:v>Castel Sant'Angelo ROMA</c:v>
                </c:pt>
                <c:pt idx="7">
                  <c:v>Accademia FRENZE</c:v>
                </c:pt>
                <c:pt idx="8">
                  <c:v>Uffizi FIRENZE</c:v>
                </c:pt>
                <c:pt idx="9">
                  <c:v>Scavi di POMPEI</c:v>
                </c:pt>
                <c:pt idx="10">
                  <c:v>Colosseo ROMA</c:v>
                </c:pt>
              </c:strCache>
            </c:strRef>
          </c:cat>
          <c:val>
            <c:numRef>
              <c:f>Foglio1!$F$2:$F$12</c:f>
              <c:numCache>
                <c:formatCode>General</c:formatCode>
                <c:ptCount val="11"/>
                <c:pt idx="0">
                  <c:v>8.5000000000000006E-2</c:v>
                </c:pt>
                <c:pt idx="1">
                  <c:v>4.2000000000000003E-2</c:v>
                </c:pt>
                <c:pt idx="2">
                  <c:v>0.14599999999999999</c:v>
                </c:pt>
                <c:pt idx="4">
                  <c:v>0.35099999999999998</c:v>
                </c:pt>
                <c:pt idx="5">
                  <c:v>0.39800000000000002</c:v>
                </c:pt>
                <c:pt idx="6">
                  <c:v>0.23899999999999999</c:v>
                </c:pt>
                <c:pt idx="7">
                  <c:v>0.44600000000000001</c:v>
                </c:pt>
                <c:pt idx="8">
                  <c:v>1.7</c:v>
                </c:pt>
                <c:pt idx="9">
                  <c:v>1</c:v>
                </c:pt>
                <c:pt idx="10">
                  <c:v>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554-45A8-9F37-812977F042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29176832"/>
        <c:axId val="229178368"/>
      </c:barChart>
      <c:catAx>
        <c:axId val="229176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29178368"/>
        <c:crosses val="autoZero"/>
        <c:auto val="1"/>
        <c:lblAlgn val="ctr"/>
        <c:lblOffset val="100"/>
        <c:noMultiLvlLbl val="0"/>
      </c:catAx>
      <c:valAx>
        <c:axId val="229178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2917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110649864826919E-2"/>
          <c:y val="2.8640590041907124E-2"/>
          <c:w val="0.8823721518862675"/>
          <c:h val="0.729648599932182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Italiani (milioni)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2015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Foglio1!$B$2:$B$11</c:f>
              <c:numCache>
                <c:formatCode>General</c:formatCode>
                <c:ptCount val="10"/>
                <c:pt idx="0">
                  <c:v>58</c:v>
                </c:pt>
                <c:pt idx="1">
                  <c:v>66</c:v>
                </c:pt>
                <c:pt idx="2">
                  <c:v>39</c:v>
                </c:pt>
                <c:pt idx="3">
                  <c:v>51.8</c:v>
                </c:pt>
                <c:pt idx="4">
                  <c:v>47.2</c:v>
                </c:pt>
                <c:pt idx="5">
                  <c:v>200</c:v>
                </c:pt>
                <c:pt idx="6">
                  <c:v>216</c:v>
                </c:pt>
                <c:pt idx="7">
                  <c:v>143</c:v>
                </c:pt>
                <c:pt idx="8">
                  <c:v>183</c:v>
                </c:pt>
                <c:pt idx="9">
                  <c:v>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0D-40D9-A9F8-6DCAC1E4D237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Stranieri (milioni)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Foglio1!$A$2:$A$11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2015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Foglio1!$C$2:$C$11</c:f>
              <c:numCache>
                <c:formatCode>General</c:formatCode>
                <c:ptCount val="10"/>
                <c:pt idx="0">
                  <c:v>55</c:v>
                </c:pt>
                <c:pt idx="1">
                  <c:v>65</c:v>
                </c:pt>
                <c:pt idx="2">
                  <c:v>17</c:v>
                </c:pt>
                <c:pt idx="3">
                  <c:v>26.8</c:v>
                </c:pt>
                <c:pt idx="4">
                  <c:v>41.9</c:v>
                </c:pt>
                <c:pt idx="5">
                  <c:v>193</c:v>
                </c:pt>
                <c:pt idx="6">
                  <c:v>221</c:v>
                </c:pt>
                <c:pt idx="7">
                  <c:v>65</c:v>
                </c:pt>
                <c:pt idx="8">
                  <c:v>106.1</c:v>
                </c:pt>
                <c:pt idx="9">
                  <c:v>164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0D-40D9-A9F8-6DCAC1E4D23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3340288"/>
        <c:axId val="233350272"/>
      </c:barChart>
      <c:catAx>
        <c:axId val="23334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33350272"/>
        <c:crosses val="autoZero"/>
        <c:auto val="1"/>
        <c:lblAlgn val="ctr"/>
        <c:lblOffset val="100"/>
        <c:noMultiLvlLbl val="0"/>
      </c:catAx>
      <c:valAx>
        <c:axId val="23335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3334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4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tint val="54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tint val="54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Foglio1!$A$2:$A$3</c:f>
              <c:strCache>
                <c:ptCount val="2"/>
                <c:pt idx="0">
                  <c:v>Spesa turistica degli italiani all'estero (miliardi di €)</c:v>
                </c:pt>
                <c:pt idx="1">
                  <c:v>Spesa turistica degli stranieri in Italia (miliardi di €)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22</c:v>
                </c:pt>
                <c:pt idx="1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4E-446F-969F-84B2FFE68A21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77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tint val="77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tint val="7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Foglio1!$A$2:$A$3</c:f>
              <c:strCache>
                <c:ptCount val="2"/>
                <c:pt idx="0">
                  <c:v>Spesa turistica degli italiani all'estero (miliardi di €)</c:v>
                </c:pt>
                <c:pt idx="1">
                  <c:v>Spesa turistica degli stranieri in Italia (miliardi di €)</c:v>
                </c:pt>
              </c:strCache>
            </c:strRef>
          </c:cat>
          <c:val>
            <c:numRef>
              <c:f>Foglio1!$C$2:$C$3</c:f>
              <c:numCache>
                <c:formatCode>General</c:formatCode>
                <c:ptCount val="2"/>
                <c:pt idx="0">
                  <c:v>27</c:v>
                </c:pt>
                <c:pt idx="1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4E-446F-969F-84B2FFE68A21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Foglio1!$A$2:$A$3</c:f>
              <c:strCache>
                <c:ptCount val="2"/>
                <c:pt idx="0">
                  <c:v>Spesa turistica degli italiani all'estero (miliardi di €)</c:v>
                </c:pt>
                <c:pt idx="1">
                  <c:v>Spesa turistica degli stranieri in Italia (miliardi di €)</c:v>
                </c:pt>
              </c:strCache>
            </c:strRef>
          </c:cat>
          <c:val>
            <c:numRef>
              <c:f>Foglio1!$D$2:$D$3</c:f>
              <c:numCache>
                <c:formatCode>General</c:formatCode>
                <c:ptCount val="2"/>
                <c:pt idx="0">
                  <c:v>10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A4E-446F-969F-84B2FFE68A21}"/>
            </c:ext>
          </c:extLst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76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hade val="76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shade val="7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Foglio1!$A$2:$A$3</c:f>
              <c:strCache>
                <c:ptCount val="2"/>
                <c:pt idx="0">
                  <c:v>Spesa turistica degli italiani all'estero (miliardi di €)</c:v>
                </c:pt>
                <c:pt idx="1">
                  <c:v>Spesa turistica degli stranieri in Italia (miliardi di €)</c:v>
                </c:pt>
              </c:strCache>
            </c:strRef>
          </c:cat>
          <c:val>
            <c:numRef>
              <c:f>Foglio1!$E$2:$E$3</c:f>
              <c:numCache>
                <c:formatCode>General</c:formatCode>
                <c:ptCount val="2"/>
                <c:pt idx="0">
                  <c:v>12.6</c:v>
                </c:pt>
                <c:pt idx="1">
                  <c:v>21.3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A4E-446F-969F-84B2FFE68A21}"/>
            </c:ext>
          </c:extLst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3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hade val="53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shade val="53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Foglio1!$A$2:$A$3</c:f>
              <c:strCache>
                <c:ptCount val="2"/>
                <c:pt idx="0">
                  <c:v>Spesa turistica degli italiani all'estero (miliardi di €)</c:v>
                </c:pt>
                <c:pt idx="1">
                  <c:v>Spesa turistica degli stranieri in Italia (miliardi di €)</c:v>
                </c:pt>
              </c:strCache>
            </c:strRef>
          </c:cat>
          <c:val>
            <c:numRef>
              <c:f>Foglio1!$F$2:$F$3</c:f>
              <c:numCache>
                <c:formatCode>General</c:formatCode>
                <c:ptCount val="2"/>
                <c:pt idx="0">
                  <c:v>24.3</c:v>
                </c:pt>
                <c:pt idx="1">
                  <c:v>41.7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A4E-446F-969F-84B2FFE68A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33423232"/>
        <c:axId val="233424768"/>
      </c:barChart>
      <c:catAx>
        <c:axId val="23342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33424768"/>
        <c:crosses val="autoZero"/>
        <c:auto val="1"/>
        <c:lblAlgn val="ctr"/>
        <c:lblOffset val="100"/>
        <c:noMultiLvlLbl val="0"/>
      </c:catAx>
      <c:valAx>
        <c:axId val="23342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3342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1197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1197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330" kern="1200"/>
  </cs:chartArea>
  <cs:dataLabel>
    <cs:lnRef idx="0"/>
    <cs:fillRef idx="0"/>
    <cs:effectRef idx="0"/>
    <cs:fontRef idx="minor">
      <a:schemeClr val="lt1">
        <a:lumMod val="8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1197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2128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1197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0.89304</cdr:x>
      <cdr:y>0.03974</cdr:y>
    </cdr:from>
    <cdr:to>
      <cdr:x>1</cdr:x>
      <cdr:y>0.11214</cdr:y>
    </cdr:to>
    <cdr:sp macro="" textlink="">
      <cdr:nvSpPr>
        <cdr:cNvPr id="2" name="CasellaDiTesto 1">
          <a:extLst xmlns:a="http://schemas.openxmlformats.org/drawingml/2006/main">
            <a:ext uri="{FF2B5EF4-FFF2-40B4-BE49-F238E27FC236}">
              <a16:creationId xmlns:a16="http://schemas.microsoft.com/office/drawing/2014/main" xmlns="" id="{4654F6F9-CBDB-4B83-B715-2C000356B157}"/>
            </a:ext>
          </a:extLst>
        </cdr:cNvPr>
        <cdr:cNvSpPr txBox="1"/>
      </cdr:nvSpPr>
      <cdr:spPr>
        <a:xfrm xmlns:a="http://schemas.openxmlformats.org/drawingml/2006/main">
          <a:off x="7707084" y="162561"/>
          <a:ext cx="923109" cy="2960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it-IT" sz="1600" dirty="0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0.57013</cdr:x>
      <cdr:y>0.07168</cdr:y>
    </cdr:from>
    <cdr:to>
      <cdr:x>0.67608</cdr:x>
      <cdr:y>0.29524</cdr:y>
    </cdr:to>
    <cdr:sp macro="" textlink="">
      <cdr:nvSpPr>
        <cdr:cNvPr id="3" name="CasellaDiTesto 2">
          <a:extLst xmlns:a="http://schemas.openxmlformats.org/drawingml/2006/main">
            <a:ext uri="{FF2B5EF4-FFF2-40B4-BE49-F238E27FC236}">
              <a16:creationId xmlns:a16="http://schemas.microsoft.com/office/drawing/2014/main" xmlns="" id="{925C3AEF-3F94-41BA-9D17-F9CCB70D5883}"/>
            </a:ext>
          </a:extLst>
        </cdr:cNvPr>
        <cdr:cNvSpPr txBox="1"/>
      </cdr:nvSpPr>
      <cdr:spPr>
        <a:xfrm xmlns:a="http://schemas.openxmlformats.org/drawingml/2006/main">
          <a:off x="4920343" y="29318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it-IT" sz="1100" b="1" dirty="0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0.45711</cdr:x>
      <cdr:y>0.11852</cdr:y>
    </cdr:from>
    <cdr:to>
      <cdr:x>0.56307</cdr:x>
      <cdr:y>0.34209</cdr:y>
    </cdr:to>
    <cdr:sp macro="" textlink="">
      <cdr:nvSpPr>
        <cdr:cNvPr id="4" name="CasellaDiTesto 3">
          <a:extLst xmlns:a="http://schemas.openxmlformats.org/drawingml/2006/main">
            <a:ext uri="{FF2B5EF4-FFF2-40B4-BE49-F238E27FC236}">
              <a16:creationId xmlns:a16="http://schemas.microsoft.com/office/drawing/2014/main" xmlns="" id="{CCD3B278-B515-4370-8C92-123CDBDC5061}"/>
            </a:ext>
          </a:extLst>
        </cdr:cNvPr>
        <cdr:cNvSpPr txBox="1"/>
      </cdr:nvSpPr>
      <cdr:spPr>
        <a:xfrm xmlns:a="http://schemas.openxmlformats.org/drawingml/2006/main">
          <a:off x="3944981" y="48477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it-IT" sz="1100" b="1" dirty="0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0.27649</cdr:x>
      <cdr:y>0.5912</cdr:y>
    </cdr:from>
    <cdr:to>
      <cdr:x>0.38042</cdr:x>
      <cdr:y>0.8318</cdr:y>
    </cdr:to>
    <cdr:sp macro="" textlink="">
      <cdr:nvSpPr>
        <cdr:cNvPr id="5" name="CasellaDiTesto 4">
          <a:extLst xmlns:a="http://schemas.openxmlformats.org/drawingml/2006/main">
            <a:ext uri="{FF2B5EF4-FFF2-40B4-BE49-F238E27FC236}">
              <a16:creationId xmlns:a16="http://schemas.microsoft.com/office/drawing/2014/main" xmlns="" id="{AB6C3E5B-4509-4FFA-9901-B319C8623A5D}"/>
            </a:ext>
          </a:extLst>
        </cdr:cNvPr>
        <cdr:cNvSpPr txBox="1"/>
      </cdr:nvSpPr>
      <cdr:spPr>
        <a:xfrm xmlns:a="http://schemas.openxmlformats.org/drawingml/2006/main">
          <a:off x="2386146" y="2418080"/>
          <a:ext cx="896983" cy="984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it-IT" sz="1100" b="1" dirty="0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0.25429</cdr:x>
      <cdr:y>0.77644</cdr:y>
    </cdr:from>
    <cdr:to>
      <cdr:x>0.36024</cdr:x>
      <cdr:y>1</cdr:y>
    </cdr:to>
    <cdr:sp macro="" textlink="">
      <cdr:nvSpPr>
        <cdr:cNvPr id="6" name="CasellaDiTesto 5">
          <a:extLst xmlns:a="http://schemas.openxmlformats.org/drawingml/2006/main">
            <a:ext uri="{FF2B5EF4-FFF2-40B4-BE49-F238E27FC236}">
              <a16:creationId xmlns:a16="http://schemas.microsoft.com/office/drawing/2014/main" xmlns="" id="{C82A5788-AC28-4232-8466-38FE7C43F0AF}"/>
            </a:ext>
          </a:extLst>
        </cdr:cNvPr>
        <cdr:cNvSpPr txBox="1"/>
      </cdr:nvSpPr>
      <cdr:spPr>
        <a:xfrm xmlns:a="http://schemas.openxmlformats.org/drawingml/2006/main">
          <a:off x="2194559" y="317572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it-IT" sz="1100" b="1" dirty="0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 -Rete Urbana delle Rappresentan</dc:creator>
  <cp:lastModifiedBy>Cdd</cp:lastModifiedBy>
  <cp:revision>2</cp:revision>
  <cp:lastPrinted>2023-05-09T13:27:00Z</cp:lastPrinted>
  <dcterms:created xsi:type="dcterms:W3CDTF">2023-05-09T13:28:00Z</dcterms:created>
  <dcterms:modified xsi:type="dcterms:W3CDTF">2023-05-09T13:28:00Z</dcterms:modified>
</cp:coreProperties>
</file>