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line="240" w:lineRule="auto"/>
        <w:jc w:val="both"/>
        <w:rPr>
          <w:sz w:val="24"/>
          <w:szCs w:val="24"/>
        </w:rPr>
      </w:pPr>
      <w:r w:rsidDel="00000000" w:rsidR="00000000" w:rsidRPr="00000000">
        <w:rPr>
          <w:rtl w:val="0"/>
        </w:rPr>
      </w:r>
    </w:p>
    <w:p w:rsidR="00000000" w:rsidDel="00000000" w:rsidP="00000000" w:rsidRDefault="00000000" w:rsidRPr="00000000" w14:paraId="00000002">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 Documento Strategico Pluriennale della Mobilità risponde alla opportuna necessità di collocare le scelte per il potenziamento del sistema ferroviario dentro una cornice strategica complessiva. Però questo respiro raggiunge pienamente il suo obiettivo se si evita la tentazione di passare in rassegna scelte già operate altrove, e se si assumono invece a riferimento per le scelte  i risultati conseguibili per lo sviluppo della mobilità, in una valutazione tra costi e benefici delle possibili alternative.</w:t>
      </w:r>
    </w:p>
    <w:p w:rsidR="00000000" w:rsidDel="00000000" w:rsidP="00000000" w:rsidRDefault="00000000" w:rsidRPr="00000000" w14:paraId="00000003">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tratta innanzitutto di evitare una eccessiva frammentazione delle opere e dei cantieri. Per le sue stesse intrinseche caratteristiche, l'infrastruttura ferroviaria è in grado di assicurare i propri risultati solo a  intervento compiutamente terminato, ed a modello di esercizio definito nella utilizzazione della nuova capacità messa a disposizione degli investimenti. </w:t>
      </w:r>
    </w:p>
    <w:p w:rsidR="00000000" w:rsidDel="00000000" w:rsidP="00000000" w:rsidRDefault="00000000" w:rsidRPr="00000000" w14:paraId="00000004">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 questa ragione è particolarmente sconsigliabile finanziare le opere ferroviarie solo per lotti, e non a direttrice intera. Fino alla fine degli anni Ottanta del passato secolo questo è stato uno dei motivi di arretramento competitivo delle ferrovie italiane. Tornare a quell'approccio sarebbe davvero esiziale. Nel contratto di programma andrebbero inserite opere esclusivamente nella logica del finanziamento ad intera direttrice.</w:t>
      </w:r>
    </w:p>
    <w:p w:rsidR="00000000" w:rsidDel="00000000" w:rsidP="00000000" w:rsidRDefault="00000000" w:rsidRPr="00000000" w14:paraId="00000005">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Appare poi necessario entrare nel merito delle scelte tecniche che vengono assunte per valutarne gli impatti dal punto di vista della corretta allocazione delle risorse e dei servizi erogati al mercato. Spesso solo l'analisi approfondita consente la migliore allocazione delle risorse finanziarie.</w:t>
      </w:r>
    </w:p>
    <w:p w:rsidR="00000000" w:rsidDel="00000000" w:rsidP="00000000" w:rsidRDefault="00000000" w:rsidRPr="00000000" w14:paraId="00000006">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due interventi infrastrutturali più rilevanti per il futuro del sistema ferroviario, accanto a quelli dei valichi e dei transiti alpini, riguardano la direttrice meridionale e la direttrice adriatica. Nel caso dell'asse adriatico i costi previsti dal contratto di programma sono pari a 10,8 miliardi di euro, con risorse disponibili per 5,2 miliardi e fabbisogni ulteriori per 5,6 miliardi. </w:t>
      </w:r>
    </w:p>
    <w:p w:rsidR="00000000" w:rsidDel="00000000" w:rsidP="00000000" w:rsidRDefault="00000000" w:rsidRPr="00000000" w14:paraId="00000007">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assolutamente azzardato pensare di poter realizzare un intervento significativo sulla intera direttrice se il solo quadruplicamento da Bologna a Castelbolognese costa 3,6 miliardi, e solleva tutta una serie di dubbi concettuali molto gravi. </w:t>
      </w:r>
    </w:p>
    <w:p w:rsidR="00000000" w:rsidDel="00000000" w:rsidP="00000000" w:rsidRDefault="00000000" w:rsidRPr="00000000" w14:paraId="00000008">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soluzione proposta da RFI ed Engeneering incrementa la capacità della tratta interessata (Bivio S. Vitale – Castelbolognese), ma sposta il collo di bottiglia nell’ambito molto più delicato e strategico del nodo di Bologna, sia per la parte passeggeri che per quella merci.</w:t>
      </w:r>
    </w:p>
    <w:p w:rsidR="00000000" w:rsidDel="00000000" w:rsidP="00000000" w:rsidRDefault="00000000" w:rsidRPr="00000000" w14:paraId="00000009">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nuova linea AV/AC non si dirama dalla rete AV (quindi dalla stazione AV di Bologna), ma dalla linea storica BO-Rimini all’altezza di Bivio San Vitale (a 4 km da Bologna Centrale); tutto il nuovo traffico AV da Bologna verso la linea adriatica impegnerà necessariamente la stazione di superficie. </w:t>
      </w:r>
    </w:p>
    <w:p w:rsidR="00000000" w:rsidDel="00000000" w:rsidP="00000000" w:rsidRDefault="00000000" w:rsidRPr="00000000" w14:paraId="0000000A">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Viene, secondo questo approccio, contraddetto il paradigma che ha ispirato negli anni ’90 la separazione dei servizi su infrastrutture distinte e che ha guidato la realizzazione della stazione AV di Bologna e del passante AV di Firenze.</w:t>
      </w:r>
    </w:p>
    <w:p w:rsidR="00000000" w:rsidDel="00000000" w:rsidP="00000000" w:rsidRDefault="00000000" w:rsidRPr="00000000" w14:paraId="0000000B">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Viene sottratta di conseguenza alla stazione di Bologna Centrale capacità da destinare al potenziamento dei servizi ferroviari regionali e metropolitani, così come auspicato dalla Regione Emilia Romagna. Inoltre per tale nuova linea si adottano standard tecnici per una velocità max di 300 km/h ma per contro, e in evidente contraddizione in termini, si adotta un’alimentazione a 3 kV cc, che limita la velocità dei treni AV a 250 km/h.</w:t>
      </w:r>
    </w:p>
    <w:p w:rsidR="00000000" w:rsidDel="00000000" w:rsidP="00000000" w:rsidRDefault="00000000" w:rsidRPr="00000000" w14:paraId="0000000C">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Diversa è la criticità che riguarda la direttrice meridionale, nel collegamento tra Salerno e Reggio Calabria. Il costo  previsto  per questa opera è  pari a 30,3 miliardi di euro, con 12,1 miliardi di risorse disponibili, ed un fabbisogno pari a   18,2 miliardi.  </w:t>
      </w:r>
    </w:p>
    <w:p w:rsidR="00000000" w:rsidDel="00000000" w:rsidP="00000000" w:rsidRDefault="00000000" w:rsidRPr="00000000" w14:paraId="0000000D">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Sarebbe assolutamente opportuno, non solo per la direttrice meridionale, rivedere il modello di alta capacità, che negli Anni Novanta fu deciso per un accordo politico basato sul principio che l'investimento ferroviario doveva essere funzionale non solo ai passeggeri ma anche al traffico merci,.</w:t>
      </w:r>
    </w:p>
    <w:p w:rsidR="00000000" w:rsidDel="00000000" w:rsidP="00000000" w:rsidRDefault="00000000" w:rsidRPr="00000000" w14:paraId="0000000E">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fatti hanno dimostrato che non esistevano le condizioni economiche ed operative per un efficace utilizzo del modello di alta capacità. Il pedaggio di accesso alla nuova infrastruttura non è compatibile con la logica economica del servizio merci: gli attuali 7 euro a treno*km sono totalmente incompatibili la disponibilità a pagare da parte del mercato. </w:t>
      </w:r>
    </w:p>
    <w:p w:rsidR="00000000" w:rsidDel="00000000" w:rsidP="00000000" w:rsidRDefault="00000000" w:rsidRPr="00000000" w14:paraId="0000000F">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Questo disallineamento è reso  ancora più evidente dalla necessità di investire in materiale rotabile dedicato per le caratteristiche delle nuove  linee: l'ammortamento di questi beni avrebbe allontanato ulteriormente ogni possibilità di sostenibilità commerciale del servizio. </w:t>
      </w:r>
    </w:p>
    <w:p w:rsidR="00000000" w:rsidDel="00000000" w:rsidP="00000000" w:rsidRDefault="00000000" w:rsidRPr="00000000" w14:paraId="00000010">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Infine, la necessità di assicurare giornalmente le manutenzioni alle linee, consente finestre molto limitate per le tracce notturne che potrebbero essere quelle maggiormente appetibili per i collegamenti tra le principali città metropolitane del nostro Paese.</w:t>
      </w:r>
    </w:p>
    <w:p w:rsidR="00000000" w:rsidDel="00000000" w:rsidP="00000000" w:rsidRDefault="00000000" w:rsidRPr="00000000" w14:paraId="00000011">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 le ragioni che sono state sintetizzate finora, andrebbe cancellata l'esperienza della alta capacità. Nessun treno merci, salvo la temporanea e disastrosa esperienza di un treno passeggeri adattato al traffico merci, ha mai utilizzato in un quarto di secolo il sistema di infrastrutture dell'alta velocità. </w:t>
      </w:r>
    </w:p>
    <w:p w:rsidR="00000000" w:rsidDel="00000000" w:rsidP="00000000" w:rsidRDefault="00000000" w:rsidRPr="00000000" w14:paraId="00000012">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Confermare invece le caratteristiche tecniche per la realizzazione delle nuove tratte dell'alta velocità italiana con le caratteristiche dell'alta capacità appare un gravissimo errore, un vero e proprio spreco di denaro pubblico, che potrebbe utilmente essere indirizzato verso altri potenziamenti della rete e dei servizi ferroviari. </w:t>
      </w:r>
    </w:p>
    <w:p w:rsidR="00000000" w:rsidDel="00000000" w:rsidP="00000000" w:rsidRDefault="00000000" w:rsidRPr="00000000" w14:paraId="00000013">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 peraltro sottolineato che non esiste in alcuna realtà ferroviaria internazionale la scelta di una infrastruttura ad alta velocità con esercizio misto. Il tentativo italiano mostra con palmare evidenza la correttezza delle scelte mondiali. Sarebbe davvero singolare dare prova di coerenza testarda nell’errore. Ciò non vuol dire ovviamente derubricare la questione strategica del trasporto merci.</w:t>
      </w:r>
    </w:p>
    <w:p w:rsidR="00000000" w:rsidDel="00000000" w:rsidP="00000000" w:rsidRDefault="00000000" w:rsidRPr="00000000" w14:paraId="00000014">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Proprio per dare una effettiva risposta al principio che non è stato conseguito con il modello dell'alta capacità, andrebbe tracciata una prospettiva infrastrutturale  capace di determinare una svolta positiva per il traffico ferroviario delle merci.</w:t>
      </w:r>
    </w:p>
    <w:p w:rsidR="00000000" w:rsidDel="00000000" w:rsidP="00000000" w:rsidRDefault="00000000" w:rsidRPr="00000000" w14:paraId="00000015">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particolare, sarebbe strategico - per il futuro della logistica e del trasporto merci del nostro Paese - rendere coerenti le principali direttrici della rete ferroviaria storica con gli standard minimi europei dei convogli merci. Consentire il transito di treni lunghi 750 metri e pesanti 2000 tonnellate rappresenta una condizione inderogabile per assicurare condizioni di competitività.</w:t>
      </w:r>
    </w:p>
    <w:p w:rsidR="00000000" w:rsidDel="00000000" w:rsidP="00000000" w:rsidRDefault="00000000" w:rsidRPr="00000000" w14:paraId="00000016">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Pensare alle nuove infrastrutture vuol dire porsi anche la questione della funzionalità delle vecchie dotazioni. Gli scali di smistamento erano funzionali ad un modello di servizio del traffico diffuso, che chiedeva aree di manovra e riordino articolate strategicamente nel Paese. Oggi queste infrastrutture non servono più, e ne va valutata la più adeguata riorganizzazione. </w:t>
      </w:r>
    </w:p>
    <w:p w:rsidR="00000000" w:rsidDel="00000000" w:rsidP="00000000" w:rsidRDefault="00000000" w:rsidRPr="00000000" w14:paraId="00000017">
      <w:pPr>
        <w:widowControl w:val="0"/>
        <w:spacing w:after="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Considerazione conclusive </w:t>
      </w:r>
    </w:p>
    <w:p w:rsidR="00000000" w:rsidDel="00000000" w:rsidP="00000000" w:rsidRDefault="00000000" w:rsidRPr="00000000" w14:paraId="00000019">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Occorre attivare un percorso logico che porti ad una razionale realizzazione di opere nel rispetto di priorità strategiche, allocando le risorse finanziarie secondo criteri che misurino efficacia ed efficienza.</w:t>
      </w:r>
    </w:p>
    <w:p w:rsidR="00000000" w:rsidDel="00000000" w:rsidP="00000000" w:rsidRDefault="00000000" w:rsidRPr="00000000" w14:paraId="0000001A">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 faro dominante deve sempre essere l’analisi della domanda di mobilità, individuando in prospettiva i colli di bottiglia che possono costituire fattori di vincolo per l’organizzazione complessiva della rete e dei servizi. </w:t>
      </w:r>
    </w:p>
    <w:p w:rsidR="00000000" w:rsidDel="00000000" w:rsidP="00000000" w:rsidRDefault="00000000" w:rsidRPr="00000000" w14:paraId="0000001B">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tal fine vanno progettate e realizzate soluzioni infrastrutturali mirate, soprattutto definendo percorsi di chiarezza sul modello di esercizio. Cerchiamo di dare risposte chiare alle domande strategiche.</w:t>
      </w:r>
    </w:p>
    <w:p w:rsidR="00000000" w:rsidDel="00000000" w:rsidP="00000000" w:rsidRDefault="00000000" w:rsidRPr="00000000" w14:paraId="0000001C">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 linea AV bisogna adottare la soluzione promiscua o invece bisogna riconoscere che il modello dedicato - utilizzato dappertutto - e' quello giusto?</w:t>
      </w:r>
    </w:p>
    <w:p w:rsidR="00000000" w:rsidDel="00000000" w:rsidP="00000000" w:rsidRDefault="00000000" w:rsidRPr="00000000" w14:paraId="0000001D">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treni regionali e metropolitani, oltre che i treni merci, debbono essere eserciti solo su linee storiche, oppure devono essere possibili le contaminazioni che oggi determinano solo un incremento esponenziale dei costi di costruzione delle linee ad alta velocità?</w:t>
      </w:r>
    </w:p>
    <w:p w:rsidR="00000000" w:rsidDel="00000000" w:rsidP="00000000" w:rsidRDefault="00000000" w:rsidRPr="00000000" w14:paraId="0000001E">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È tempo di adottare una strategia ben definita nell'ambito degli strumenti di pianificazione, in cui inscrivere ogni singolo progetto, ogni singolo intervento e le priorità con cui procedere nella lista degli investimenti da realizzare. </w:t>
      </w:r>
    </w:p>
    <w:p w:rsidR="00000000" w:rsidDel="00000000" w:rsidP="00000000" w:rsidRDefault="00000000" w:rsidRPr="00000000" w14:paraId="0000001F">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Pochi e faraonici progetti non risolvono le esigenze trasportistiche, che sono diffuse e richiedono un approccio coerente e sostenibile, che garantisca la migliore mobilità possibile di merci e persone, in linea anche con le strategie europee su reti AV (che non contemplano la direttrice adriatica), corridoi TEN-T (che si possono interpretare anche come maglie in cui più infrastrutture concorrono alla fluidificazione del corridoio), nuove tecnologie ERTMS/ETCS, necessari per interoperabilità, sicurezza ed incremento di capacità, anche in assenza di nuove infrastrutture.</w:t>
      </w:r>
    </w:p>
    <w:p w:rsidR="00000000" w:rsidDel="00000000" w:rsidP="00000000" w:rsidRDefault="00000000" w:rsidRPr="00000000" w14:paraId="00000020">
      <w:pPr>
        <w:widowControl w:val="0"/>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Soprattutto non e' opportuno che gli investimenti ferroviari assumano altre finalità per motivi di consenso politico. Quando si propone ad esempio l’arretramento verso l’interno di linee ferroviarie per liberare spazi marittimi ci si propone di ottenere risultati diversi dal miglioramento della mobilità. Può essere anche una linea legittima di intervento, ma alla coda di tutte le altre priorità. Ogni questione può essere affrontate se e' chiaro il ranking delle scelte.</w:t>
      </w:r>
    </w:p>
    <w:p w:rsidR="00000000" w:rsidDel="00000000" w:rsidP="00000000" w:rsidRDefault="00000000" w:rsidRPr="00000000" w14:paraId="00000021">
      <w:pPr>
        <w:widowControl w:val="0"/>
        <w:spacing w:after="120" w:line="240" w:lineRule="auto"/>
        <w:jc w:val="both"/>
        <w:rPr>
          <w:rFonts w:ascii="Times New Roman" w:cs="Times New Roman" w:eastAsia="Times New Roman" w:hAnsi="Times New Roman"/>
          <w:sz w:val="28"/>
          <w:szCs w:val="28"/>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Commissione Trasporti della Camera dei Deputati</w:t>
    </w:r>
  </w:p>
  <w:p w:rsidR="00000000" w:rsidDel="00000000" w:rsidP="00000000" w:rsidRDefault="00000000" w:rsidRPr="00000000" w14:paraId="00000023">
    <w:pPr>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Audizione di Pietro Spirito</w:t>
    </w:r>
  </w:p>
  <w:p w:rsidR="00000000" w:rsidDel="00000000" w:rsidP="00000000" w:rsidRDefault="00000000" w:rsidRPr="00000000" w14:paraId="00000025">
    <w:pPr>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docente di Management delle Infrastrutture, Universitas Mercatorum</w:t>
    </w:r>
  </w:p>
  <w:p w:rsidR="00000000" w:rsidDel="00000000" w:rsidP="00000000" w:rsidRDefault="00000000" w:rsidRPr="00000000" w14:paraId="00000026">
    <w:pPr>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28 aprile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