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custom-properties+xml" PartName="/docProps/custom.xml"/>
  <Override ContentType="application/vnd.openxmlformats-officedocument.wordprocessingml.styles+xml" PartName="/word/styles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before="120" w:lineRule="auto"/>
        <w:jc w:val="center"/>
        <w:rPr/>
      </w:pPr>
      <w:r w:rsidDel="00000000" w:rsidR="00000000" w:rsidRPr="00000000">
        <w:rPr/>
        <w:drawing>
          <wp:inline distB="0" distT="0" distL="0" distR="0">
            <wp:extent cx="4554855" cy="1151255"/>
            <wp:effectExtent b="0" l="0" r="0" t="0"/>
            <wp:docPr descr="Immagine che contiene Carattere, Elementi grafici, logo, grafica&#10;&#10;Il contenuto generato dall'IA potrebbe non essere corretto." id="1" name="image1.png"/>
            <a:graphic>
              <a:graphicData uri="http://schemas.openxmlformats.org/drawingml/2006/picture">
                <pic:pic>
                  <pic:nvPicPr>
                    <pic:cNvPr descr="Immagine che contiene Carattere, Elementi grafici, logo, grafica&#10;&#10;Il contenuto generato dall'IA potrebbe non essere corretto." id="0" name="image1.png"/>
                    <pic:cNvPicPr preferRelativeResize="0"/>
                  </pic:nvPicPr>
                  <pic:blipFill>
                    <a:blip r:embed="rId6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4554855" cy="1151255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after="120" w:before="12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  <w:rtl w:val="0"/>
        </w:rPr>
        <w:t xml:space="preserve">Proposta di legge Concessione di crediti d’imposta in favore delle imprese per erogazioni a sostegno di iniziative formative promosse dagli istituti tecnici superiori nonché per l’assunzione di giovani che abbiano conseguito diplomi di specializzazione rilasciati dai medesimi istituti</w:t>
      </w:r>
    </w:p>
    <w:p w:rsidR="00000000" w:rsidDel="00000000" w:rsidP="00000000" w:rsidRDefault="00000000" w:rsidRPr="00000000" w14:paraId="00000007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  <w:rtl w:val="0"/>
        </w:rPr>
        <w:t xml:space="preserve">(AC 2543)</w:t>
      </w:r>
    </w:p>
    <w:p w:rsidR="00000000" w:rsidDel="00000000" w:rsidP="00000000" w:rsidRDefault="00000000" w:rsidRPr="00000000" w14:paraId="00000008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  <w:rtl w:val="0"/>
        </w:rPr>
        <w:t xml:space="preserve">VI Commissione Finanze</w:t>
      </w:r>
    </w:p>
    <w:p w:rsidR="00000000" w:rsidDel="00000000" w:rsidP="00000000" w:rsidRDefault="00000000" w:rsidRPr="00000000" w14:paraId="0000000E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  <w:rtl w:val="0"/>
        </w:rPr>
        <w:t xml:space="preserve">Camera dei Deputati</w:t>
      </w:r>
    </w:p>
    <w:p w:rsidR="00000000" w:rsidDel="00000000" w:rsidP="00000000" w:rsidRDefault="00000000" w:rsidRPr="00000000" w14:paraId="0000000F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120" w:before="120" w:lineRule="auto"/>
        <w:jc w:val="center"/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120" w:line="240" w:lineRule="auto"/>
        <w:ind w:left="720" w:right="0" w:hanging="360"/>
        <w:jc w:val="center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153d63"/>
          <w:sz w:val="32"/>
          <w:szCs w:val="32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153d63"/>
          <w:sz w:val="32"/>
          <w:szCs w:val="32"/>
          <w:u w:val="none"/>
          <w:shd w:fill="auto" w:val="clear"/>
          <w:vertAlign w:val="baseline"/>
          <w:rtl w:val="0"/>
        </w:rPr>
        <w:t xml:space="preserve">febbraio 2026</w:t>
      </w:r>
    </w:p>
    <w:p w:rsidR="00000000" w:rsidDel="00000000" w:rsidP="00000000" w:rsidRDefault="00000000" w:rsidRPr="00000000" w14:paraId="00000013">
      <w:pPr>
        <w:rPr>
          <w:rFonts w:ascii="Montserrat" w:cs="Montserrat" w:eastAsia="Montserrat" w:hAnsi="Montserrat"/>
          <w:b w:val="1"/>
          <w:bCs w:val="1"/>
          <w:color w:val="153d63"/>
          <w:sz w:val="32"/>
          <w:szCs w:val="32"/>
        </w:rPr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after="120" w:before="120" w:lineRule="auto"/>
        <w:rPr>
          <w:rFonts w:ascii="Montserrat" w:cs="Montserrat" w:eastAsia="Montserrat" w:hAnsi="Montserrat"/>
          <w:b w:val="1"/>
          <w:bCs w:val="1"/>
          <w:color w:val="153d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after="120" w:before="120" w:lineRule="auto"/>
        <w:ind w:left="360" w:firstLine="0"/>
        <w:rPr>
          <w:rFonts w:ascii="Montserrat" w:cs="Montserrat" w:eastAsia="Montserrat" w:hAnsi="Montserrat"/>
          <w:b w:val="1"/>
          <w:bCs w:val="1"/>
          <w:color w:val="153d63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53d63"/>
          <w:rtl w:val="0"/>
        </w:rPr>
        <w:t xml:space="preserve">Enzima12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Enzima12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 è un gruppo integrato di servizi per il capitale umano. Opera nei settori della formazione e del lavoro, dello sviluppo delle competenze, dei processi di trasformazione organizzativa e produttiva delle imprese, nonché nella progettazione di soluzioni innovative in ambito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00000"/>
          <w:sz w:val="21"/>
          <w:szCs w:val="21"/>
          <w:rtl w:val="0"/>
        </w:rPr>
        <w:t xml:space="preserve">edtech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 e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00000"/>
          <w:sz w:val="21"/>
          <w:szCs w:val="21"/>
          <w:rtl w:val="0"/>
        </w:rPr>
        <w:t xml:space="preserve">hrtech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. Il gruppo opera, altresì, nel campo della formazione tecnico-superiore, partecipando in particolare a una Fondazione ITS Academy.</w:t>
      </w:r>
    </w:p>
    <w:p w:rsidR="00000000" w:rsidDel="00000000" w:rsidP="00000000" w:rsidRDefault="00000000" w:rsidRPr="00000000" w14:paraId="00000017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Enzima12 promuove, inoltre, l’Osservatorio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 Proxima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, una piattaforma di analisi, dialogo e proposta che nasce per leggere in profondità le trasformazioni del lavoro. L’Osservatorio favorisce una visione integrata tra imprese, istituzioni, professionisti e formatori, generando conoscenza utile a orientare politiche, strategie e innovazione.</w:t>
      </w:r>
    </w:p>
    <w:p w:rsidR="00000000" w:rsidDel="00000000" w:rsidP="00000000" w:rsidRDefault="00000000" w:rsidRPr="00000000" w14:paraId="00000018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Attraverso un’attenta attività di analisi e sintesi, l’Osservatorio elabora ogni anno due report di settore - “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Formazione e Lavoro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” ed “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EdTech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” - volti a restituire un quadro strutturato e aggiornato sulle dinamiche che caratterizzano il mondo della formazione, del lavoro e dell’Educational Technology in Italia.</w:t>
      </w:r>
    </w:p>
    <w:p w:rsidR="00000000" w:rsidDel="00000000" w:rsidP="00000000" w:rsidRDefault="00000000" w:rsidRPr="00000000" w14:paraId="00000019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spacing w:after="120" w:before="120" w:lineRule="auto"/>
        <w:ind w:left="360" w:firstLine="0"/>
        <w:rPr>
          <w:rFonts w:ascii="Montserrat" w:cs="Montserrat" w:eastAsia="Montserrat" w:hAnsi="Montserrat"/>
          <w:b w:val="1"/>
          <w:bCs w:val="1"/>
          <w:color w:val="153d63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53d63"/>
          <w:rtl w:val="0"/>
        </w:rPr>
        <w:t xml:space="preserve">Considerazioni sul provvedimento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Il provvedimento in esame afferma un principio condivisibile e di rilievo strategico: l’investimento privato nel capitale umano, in particolare quando orientato alla formazione tecnica e all’occupazione qualificata, merita un adeguato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riconoscimento fiscale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1C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Tale impostazione risulta coerente con l’attuale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contesto economico e occupazionale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: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fronte di livelli occupazionali complessivamente elevati, il sistema produttivo sconta una crescente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difficoltà nel reperimento di profili tecnici e specialistici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; 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 conseguente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mismatch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delle competenze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incide negativamente sui tempi di investimento, sulla qualità dei processi, sulla produttività e sui costi di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turnover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 ciò si aggiunge una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dinamica demografica sfavorevole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, destinata a ridurre progressivamente la popolazione in età lavorativa nei prossimi decenni.</w:t>
      </w:r>
    </w:p>
    <w:p w:rsidR="00000000" w:rsidDel="00000000" w:rsidP="00000000" w:rsidRDefault="00000000" w:rsidRPr="00000000" w14:paraId="00000020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Questo scenario evidenzia una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tensione strutturale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del mercato del lavoro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: in assenza di competenze critiche, gli investimenti rallentano o faticano a scalare, la qualità dei processi si deteriora e i costi per le imprese aumentano, sotto forma di inefficienze operative, ricorso straordinario al lavoro, errori e interventi formativi emergenziali.</w:t>
      </w:r>
    </w:p>
    <w:p w:rsidR="00000000" w:rsidDel="00000000" w:rsidP="00000000" w:rsidRDefault="00000000" w:rsidRPr="00000000" w14:paraId="00000021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Le analisi richiamate dall’Osservatorio Proxima nel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00000"/>
          <w:sz w:val="21"/>
          <w:szCs w:val="21"/>
          <w:rtl w:val="0"/>
        </w:rPr>
        <w:t xml:space="preserve">Rapporto Formazione e Lavoro 2025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 stimano una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highlight w:val="white"/>
          <w:rtl w:val="0"/>
        </w:rPr>
        <w:t xml:space="preserve">perdita potenziale di valore aggiunto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 pari a circa il 2,5% del PIL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 (circa 44 miliardi di euro), confermando la natura strutturale e industriale del problema.</w:t>
      </w:r>
    </w:p>
    <w:p w:rsidR="00000000" w:rsidDel="00000000" w:rsidP="00000000" w:rsidRDefault="00000000" w:rsidRPr="00000000" w14:paraId="00000022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In questo contesto, la leva fiscale prevista dal provvedimento in esame, attraverso lo strumento del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credito d’imposta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, appare idonea a:</w:t>
      </w:r>
    </w:p>
    <w:p w:rsidR="00000000" w:rsidDel="00000000" w:rsidP="00000000" w:rsidRDefault="00000000" w:rsidRPr="00000000" w14:paraId="00000023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stimolare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il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co-investimento privato in formazione, orientando una quota della redditività d’impresa verso investimenti di medio-lungo periodo nella formazione tecnico-professionale;</w:t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rafforzare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il collegamento tra l’offerta formativa degli ITS e i fabbisogni delle filiere produttive;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aumentare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la probabilità che la spesa in formazione si traduca in occupazione qualificata.</w:t>
      </w:r>
    </w:p>
    <w:p w:rsidR="00000000" w:rsidDel="00000000" w:rsidP="00000000" w:rsidRDefault="00000000" w:rsidRPr="00000000" w14:paraId="00000026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Per tali ragioni,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Enzima12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 esprime una valutazione complessivamente favorevole all’impianto della proposta di legge e ne sostiene l’approvazione, individuando tuttavia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due possibili ambiti di miglioramento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, che saranno approfonditi nei paragrafi che seguono.</w:t>
      </w:r>
    </w:p>
    <w:p w:rsidR="00000000" w:rsidDel="00000000" w:rsidP="00000000" w:rsidRDefault="00000000" w:rsidRPr="00000000" w14:paraId="00000027">
      <w:pPr>
        <w:spacing w:after="120" w:before="120" w:lineRule="auto"/>
        <w:rPr>
          <w:rFonts w:ascii="Montserrat" w:cs="Montserrat" w:eastAsia="Montserrat" w:hAnsi="Montserrat"/>
          <w:b w:val="1"/>
          <w:bCs w:val="1"/>
          <w:color w:val="153d63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spacing w:after="120" w:before="120" w:lineRule="auto"/>
        <w:ind w:left="360" w:firstLine="0"/>
        <w:rPr>
          <w:rFonts w:ascii="Montserrat" w:cs="Montserrat" w:eastAsia="Montserrat" w:hAnsi="Montserrat"/>
          <w:b w:val="1"/>
          <w:bCs w:val="1"/>
          <w:color w:val="153d63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153d63"/>
          <w:rtl w:val="0"/>
        </w:rPr>
        <w:t xml:space="preserve">Proposta 1 - Allargare la platea delle imprese beneficiarie del credito</w:t>
      </w:r>
    </w:p>
    <w:p w:rsidR="00000000" w:rsidDel="00000000" w:rsidP="00000000" w:rsidRDefault="00000000" w:rsidRPr="00000000" w14:paraId="00000029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La proposta di legge concede un beneficio fiscale esclusivamente in favore delle imprese inserite in partenariati formalizzati con le ITS Academy. Tale passaggio comporta tempi e adempimenti formali non trascurabili, connessi a profili di </w:t>
      </w:r>
      <w:r w:rsidDel="00000000" w:rsidR="00000000" w:rsidRPr="00000000">
        <w:rPr>
          <w:rFonts w:ascii="Montserrat" w:cs="Montserrat" w:eastAsia="Montserrat" w:hAnsi="Montserrat"/>
          <w:i w:val="1"/>
          <w:iCs w:val="1"/>
          <w:color w:val="000000"/>
          <w:sz w:val="21"/>
          <w:szCs w:val="21"/>
          <w:rtl w:val="0"/>
        </w:rPr>
        <w:t xml:space="preserve">governance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, atti costitutivi e adeguamenti statutari.</w:t>
      </w:r>
    </w:p>
    <w:p w:rsidR="00000000" w:rsidDel="00000000" w:rsidP="00000000" w:rsidRDefault="00000000" w:rsidRPr="00000000" w14:paraId="0000002A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Al fine di rafforzare e ampliare i benefici della proposta, è necessario eliminare tale obbligo di partenariato e permettere a tutte le imprese italiane di sostenere borse di studio e iniziative formative ITS.</w:t>
      </w:r>
    </w:p>
    <w:p w:rsidR="00000000" w:rsidDel="00000000" w:rsidP="00000000" w:rsidRDefault="00000000" w:rsidRPr="00000000" w14:paraId="0000002B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Tale modifica, consentirà di estendere a base dei potenziali donatori e di attrarre nuove risorse private, riducendo al contempo il rischio di concentrazione del beneficio su soggetti già strutturalmente coinvolti nel sistema ITS.</w:t>
      </w:r>
    </w:p>
    <w:p w:rsidR="00000000" w:rsidDel="00000000" w:rsidP="00000000" w:rsidRDefault="00000000" w:rsidRPr="00000000" w14:paraId="0000002C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Si riporta, di seguito, una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proposta emendativa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:</w:t>
      </w:r>
    </w:p>
    <w:p w:rsidR="00000000" w:rsidDel="00000000" w:rsidP="00000000" w:rsidRDefault="00000000" w:rsidRPr="00000000" w14:paraId="0000002D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All’articolo 1, comma 1, le parole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da parte delle imprese di cui all’articolo 5, comma 2, lettera c), del decreto del Ministro dell’istruzione e del merito n. 256 del 16 dicembre 2024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 sono soppresse;</w:t>
      </w:r>
    </w:p>
    <w:p w:rsidR="00000000" w:rsidDel="00000000" w:rsidP="00000000" w:rsidRDefault="00000000" w:rsidRPr="00000000" w14:paraId="0000002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keepNext w:val="0"/>
        <w:keepLines w:val="0"/>
        <w:pageBreakBefore w:val="0"/>
        <w:widowControl w:val="1"/>
        <w:numPr>
          <w:ilvl w:val="0"/>
          <w:numId w:val="4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all’articolo 4, comma 1, le parole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residenti nel territorio dello Stato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 sono sostituite dalle seguenti: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residenti nel territorio dello Stato, nonché residenti in altri Stati membri dell’Unione europea con stabile organizzazione nel territorio dello Stato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”;</w:t>
      </w:r>
    </w:p>
    <w:p w:rsidR="00000000" w:rsidDel="00000000" w:rsidP="00000000" w:rsidRDefault="00000000" w:rsidRPr="00000000" w14:paraId="00000031">
      <w:pPr>
        <w:spacing w:after="120" w:before="120" w:lineRule="auto"/>
        <w:ind w:left="360" w:firstLine="0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Conseguentemente, all’articolo 2, comma 1:</w:t>
      </w:r>
    </w:p>
    <w:p w:rsidR="00000000" w:rsidDel="00000000" w:rsidP="00000000" w:rsidRDefault="00000000" w:rsidRPr="00000000" w14:paraId="00000032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144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le parole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 imprese di cui all’articolo 1 della presente legge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 sono sostituite dalle seguenti: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alle imprese di cui all’articolo 4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”;</w:t>
      </w:r>
    </w:p>
    <w:p w:rsidR="00000000" w:rsidDel="00000000" w:rsidP="00000000" w:rsidRDefault="00000000" w:rsidRPr="00000000" w14:paraId="00000033">
      <w:pPr>
        <w:keepNext w:val="0"/>
        <w:keepLines w:val="0"/>
        <w:pageBreakBefore w:val="0"/>
        <w:widowControl w:val="1"/>
        <w:numPr>
          <w:ilvl w:val="0"/>
          <w:numId w:val="5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144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dopo le parole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istituti tecnici superiori di cui alla legge 15 luglio 2022, n. 99,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 sono inserite le seguenti: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senza obbligo di preventiva adesione a fondazioni o partenariati ITS,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”.</w:t>
      </w:r>
    </w:p>
    <w:p w:rsidR="00000000" w:rsidDel="00000000" w:rsidP="00000000" w:rsidRDefault="00000000" w:rsidRPr="00000000" w14:paraId="00000034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both"/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153d63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1"/>
          <w:bCs w:val="1"/>
          <w:i w:val="0"/>
          <w:iCs w:val="0"/>
          <w:smallCaps w:val="0"/>
          <w:strike w:val="0"/>
          <w:color w:val="153d63"/>
          <w:sz w:val="24"/>
          <w:szCs w:val="24"/>
          <w:u w:val="none"/>
          <w:shd w:fill="auto" w:val="clear"/>
          <w:vertAlign w:val="baseline"/>
          <w:rtl w:val="0"/>
        </w:rPr>
        <w:t xml:space="preserve">Proposta 2 - Estendere il credito d'imposta ai programmi di formazione professionale all'estero, finalizzati all'assunzione</w:t>
      </w:r>
    </w:p>
    <w:p w:rsidR="00000000" w:rsidDel="00000000" w:rsidP="00000000" w:rsidRDefault="00000000" w:rsidRPr="00000000" w14:paraId="00000036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Enzima12 propone di estendere l’impianto della proposta di legge, includendo tra le spese ammissibili al credito d’imposta anche le erogazioni effettuate dalle imprese per programmi di formazione professionale e civico-linguistica realizzati nei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 Paesi di origine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, finalizzati alla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successiva assunzione in Italia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.</w:t>
      </w:r>
    </w:p>
    <w:p w:rsidR="00000000" w:rsidDel="00000000" w:rsidP="00000000" w:rsidRDefault="00000000" w:rsidRPr="00000000" w14:paraId="00000037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Tale estensione risulta coerente con il quadro normativo vigente e, in particolare, con quanto previsto dall’articolo 23 del decreto legislativo n. 286/1998, come modificato nel 2023, che disciplina i percorsi di formazione all’estero finalizzati all’ingresso programmato nel mercato del lavoro italiano.</w:t>
      </w:r>
    </w:p>
    <w:p w:rsidR="00000000" w:rsidDel="00000000" w:rsidP="00000000" w:rsidRDefault="00000000" w:rsidRPr="00000000" w14:paraId="00000038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L’inclusione di queste spese tra quelle agevolabili consente di rafforzare l’efficacia della misura, favorendo investimenti anticipati in competenze coerenti con i fabbisogni delle imprese e contribuendo, al contempo, a una gestione più ordinata e qualificata dei flussi di ingresso per lavoro. </w:t>
      </w:r>
    </w:p>
    <w:p w:rsidR="00000000" w:rsidDel="00000000" w:rsidP="00000000" w:rsidRDefault="00000000" w:rsidRPr="00000000" w14:paraId="00000039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Si riporta, di seguito, una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  <w:rtl w:val="0"/>
        </w:rPr>
        <w:t xml:space="preserve">proposta emendativa</w:t>
      </w:r>
      <w:r w:rsidDel="00000000" w:rsidR="00000000" w:rsidRPr="00000000">
        <w:rPr>
          <w:rFonts w:ascii="Montserrat" w:cs="Montserrat" w:eastAsia="Montserrat" w:hAnsi="Montserrat"/>
          <w:color w:val="000000"/>
          <w:sz w:val="21"/>
          <w:szCs w:val="21"/>
          <w:rtl w:val="0"/>
        </w:rPr>
        <w:t xml:space="preserve">:</w:t>
      </w:r>
    </w:p>
    <w:p w:rsidR="00000000" w:rsidDel="00000000" w:rsidP="00000000" w:rsidRDefault="00000000" w:rsidRPr="00000000" w14:paraId="0000003A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All’articolo 2:</w:t>
      </w:r>
    </w:p>
    <w:p w:rsidR="00000000" w:rsidDel="00000000" w:rsidP="00000000" w:rsidRDefault="00000000" w:rsidRPr="00000000" w14:paraId="0000003C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dopo il comma 1, inserire il seguente: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1-bis) </w:t>
      </w:r>
      <w:r w:rsidDel="00000000" w:rsidR="00000000" w:rsidRPr="00000000">
        <w:rPr>
          <w:rFonts w:ascii="Montserrat" w:cs="Montserrat" w:eastAsia="Montserrat" w:hAnsi="Montserrat"/>
          <w:b w:val="1"/>
          <w:bCs w:val="1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Il contributo di cui al comma 1 è altresì riconosciuto, alle medesime condizioni e nei medesimi limiti di cui al comma 2, alle imprese che effettuano erogazioni destinate al finanziamento di programmi di formazione professionale e civico-linguistica nei Paesi di origine di cittadini di Stati non appartenenti all’Unione europea, finalizzati al successivo ingresso e all’assunzione in Italia, nell’ambito dei programmi di cui all’articolo 23 del decreto legislativo 25 luglio 1998, n. 286, come modificato dal decreto-legge 10 marzo 2023, n. 20, convertito, con modificazioni, dalla legge 5 maggio 2023, n. 50.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»;</w:t>
      </w:r>
    </w:p>
    <w:p w:rsidR="00000000" w:rsidDel="00000000" w:rsidP="00000000" w:rsidRDefault="00000000" w:rsidRPr="00000000" w14:paraId="0000003D">
      <w:pPr>
        <w:keepNext w:val="0"/>
        <w:keepLines w:val="0"/>
        <w:pageBreakBefore w:val="0"/>
        <w:widowControl w:val="1"/>
        <w:numPr>
          <w:ilvl w:val="0"/>
          <w:numId w:val="7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 comma 3, le parole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 l’attuazione del comma 1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 sono sostituite dalle seguenti: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per l’attuazione dei commi 1 e 1-bis” e dopo le parole “ammissibilità dei percorsi formativi” sono aggiunte le seguenti “e dei programmi formativi nei Paesi di origine di cui al comma 1-bis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”;</w:t>
      </w:r>
    </w:p>
    <w:p w:rsidR="00000000" w:rsidDel="00000000" w:rsidP="00000000" w:rsidRDefault="00000000" w:rsidRPr="00000000" w14:paraId="0000003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440" w:right="0" w:firstLine="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keepNext w:val="0"/>
        <w:keepLines w:val="0"/>
        <w:pageBreakBefore w:val="0"/>
        <w:widowControl w:val="1"/>
        <w:numPr>
          <w:ilvl w:val="0"/>
          <w:numId w:val="6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720" w:right="0" w:hanging="360"/>
        <w:jc w:val="both"/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</w:rPr>
      </w:pP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All’articolo 6, comma 1, lettera a), le parole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 percorsi di formazione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 sono sostituite dalle seguenti “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1"/>
          <w:iCs w:val="1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i percorsi e i programmi di formazione di cui all’articolo 2, commi 1 e 1-bis</w:t>
      </w:r>
      <w:r w:rsidDel="00000000" w:rsidR="00000000" w:rsidRPr="00000000">
        <w:rPr>
          <w:rFonts w:ascii="Montserrat" w:cs="Montserrat" w:eastAsia="Montserrat" w:hAnsi="Montserrat"/>
          <w:b w:val="0"/>
          <w:bCs w:val="0"/>
          <w:i w:val="0"/>
          <w:iCs w:val="0"/>
          <w:smallCaps w:val="0"/>
          <w:strike w:val="0"/>
          <w:color w:val="000000"/>
          <w:sz w:val="21"/>
          <w:szCs w:val="21"/>
          <w:u w:val="none"/>
          <w:shd w:fill="auto" w:val="clear"/>
          <w:vertAlign w:val="baseline"/>
          <w:rtl w:val="0"/>
        </w:rPr>
        <w:t xml:space="preserve">”.</w:t>
      </w:r>
    </w:p>
    <w:p w:rsidR="00000000" w:rsidDel="00000000" w:rsidP="00000000" w:rsidRDefault="00000000" w:rsidRPr="00000000" w14:paraId="00000040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spacing w:after="120" w:before="120" w:lineRule="auto"/>
        <w:jc w:val="both"/>
        <w:rPr>
          <w:rFonts w:ascii="Montserrat" w:cs="Montserrat" w:eastAsia="Montserrat" w:hAnsi="Montserrat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spacing w:after="120" w:before="120" w:lineRule="auto"/>
        <w:jc w:val="both"/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spacing w:after="120" w:before="120" w:lineRule="auto"/>
        <w:jc w:val="both"/>
        <w:rPr>
          <w:rFonts w:ascii="Montserrat" w:cs="Montserrat" w:eastAsia="Montserrat" w:hAnsi="Montserrat"/>
          <w:b w:val="1"/>
          <w:bCs w:val="1"/>
          <w:color w:val="000000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spacing w:after="120" w:before="120" w:lineRule="auto"/>
        <w:jc w:val="both"/>
        <w:rPr>
          <w:rFonts w:ascii="Montserrat" w:cs="Montserrat" w:eastAsia="Montserrat" w:hAnsi="Montserrat"/>
          <w:b w:val="1"/>
          <w:bCs w:val="1"/>
          <w:sz w:val="21"/>
          <w:szCs w:val="2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rPr>
          <w:i w:val="1"/>
          <w:iCs w:val="1"/>
          <w:color w:val="153d63"/>
          <w:sz w:val="22"/>
          <w:szCs w:val="22"/>
          <w:u w:val="single"/>
        </w:rPr>
      </w:pPr>
      <w:r w:rsidDel="00000000" w:rsidR="00000000" w:rsidRPr="00000000">
        <w:rPr>
          <w:rtl w:val="0"/>
        </w:rPr>
      </w:r>
    </w:p>
    <w:sectPr>
      <w:headerReference r:id="rId7" w:type="default"/>
      <w:footerReference r:id="rId8" w:type="default"/>
      <w:footerReference r:id="rId9" w:type="even"/>
      <w:pgSz w:h="16838" w:w="11906" w:orient="portrait"/>
      <w:pgMar w:bottom="1134" w:top="1417" w:left="1134" w:right="1134" w:header="708" w:footer="708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ourier New"/>
  <w:font w:name="Aptos"/>
  <w:font w:name="Play">
    <w:embedRegular w:fontKey="{00000000-0000-0000-0000-000000000000}" r:id="rId1" w:subsetted="0"/>
    <w:embedBold w:fontKey="{00000000-0000-0000-0000-000000000000}" r:id="rId2" w:subsetted="0"/>
  </w:font>
  <w:font w:name="Montserrat">
    <w:embedRegular w:fontKey="{00000000-0000-0000-0000-000000000000}" r:id="rId3" w:subsetted="0"/>
    <w:embedBold w:fontKey="{00000000-0000-0000-0000-000000000000}" r:id="rId4" w:subsetted="0"/>
    <w:embedItalic w:fontKey="{00000000-0000-0000-0000-000000000000}" r:id="rId5" w:subsetted="0"/>
    <w:embedBoldItalic w:fontKey="{00000000-0000-0000-0000-000000000000}" r:id="rId6" w:subsetted="0"/>
  </w:font>
  <w:font w:name="Noto Sans Symbols">
    <w:embedRegular w:fontKey="{00000000-0000-0000-0000-000000000000}" r:id="rId7" w:subsetted="0"/>
    <w:embedBold w:fontKey="{00000000-0000-0000-0000-000000000000}" r:id="rId8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8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9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A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4B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left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4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819"/>
        <w:tab w:val="right" w:leader="none" w:pos="9638"/>
      </w:tabs>
      <w:spacing w:after="0" w:before="0" w:line="240" w:lineRule="auto"/>
      <w:ind w:left="0" w:right="0" w:firstLine="0"/>
      <w:jc w:val="center"/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Aptos" w:cs="Aptos" w:eastAsia="Aptos" w:hAnsi="Aptos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drawing>
        <wp:inline distB="0" distT="0" distL="0" distR="0">
          <wp:extent cx="2904536" cy="777448"/>
          <wp:effectExtent b="0" l="0" r="0" t="0"/>
          <wp:docPr descr="Immagine che contiene Carattere, Elementi grafici, logo, grafica&#10;&#10;Il contenuto generato dall'IA potrebbe non essere corretto." id="2" name="image1.png"/>
          <a:graphic>
            <a:graphicData uri="http://schemas.openxmlformats.org/drawingml/2006/picture">
              <pic:pic>
                <pic:nvPicPr>
                  <pic:cNvPr descr="Immagine che contiene Carattere, Elementi grafici, logo, grafica&#10;&#10;Il contenuto generato dall'IA potrebbe non essere corretto."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2904536" cy="777448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4"/>
      <w:numFmt w:val="decimal"/>
      <w:lvlText w:val="%1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abstractNum w:abstractNumId="4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5">
    <w:lvl w:ilvl="0">
      <w:start w:val="1"/>
      <w:numFmt w:val="lowerLetter"/>
      <w:lvlText w:val="%1)"/>
      <w:lvlJc w:val="left"/>
      <w:pPr>
        <w:ind w:left="1440" w:hanging="360"/>
      </w:pPr>
      <w:rPr/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abstractNum w:abstractNumId="6">
    <w:lvl w:ilvl="0">
      <w:start w:val="1"/>
      <w:numFmt w:val="decimal"/>
      <w:lvlText w:val="%1)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abstractNum w:abstractNumId="7">
    <w:lvl w:ilvl="0">
      <w:start w:val="1"/>
      <w:numFmt w:val="lowerLetter"/>
      <w:lvlText w:val="%1)"/>
      <w:lvlJc w:val="left"/>
      <w:pPr>
        <w:ind w:left="1440" w:hanging="360"/>
      </w:pPr>
      <w:rPr>
        <w:color w:val="000000"/>
      </w:rPr>
    </w:lvl>
    <w:lvl w:ilvl="1">
      <w:start w:val="1"/>
      <w:numFmt w:val="lowerLetter"/>
      <w:lvlText w:val="%2."/>
      <w:lvlJc w:val="left"/>
      <w:pPr>
        <w:ind w:left="2160" w:hanging="360"/>
      </w:pPr>
      <w:rPr/>
    </w:lvl>
    <w:lvl w:ilvl="2">
      <w:start w:val="1"/>
      <w:numFmt w:val="lowerRoman"/>
      <w:lvlText w:val="%3."/>
      <w:lvlJc w:val="right"/>
      <w:pPr>
        <w:ind w:left="2880" w:hanging="180"/>
      </w:pPr>
      <w:rPr/>
    </w:lvl>
    <w:lvl w:ilvl="3">
      <w:start w:val="1"/>
      <w:numFmt w:val="decimal"/>
      <w:lvlText w:val="%4."/>
      <w:lvlJc w:val="left"/>
      <w:pPr>
        <w:ind w:left="3600" w:hanging="360"/>
      </w:pPr>
      <w:rPr/>
    </w:lvl>
    <w:lvl w:ilvl="4">
      <w:start w:val="1"/>
      <w:numFmt w:val="lowerLetter"/>
      <w:lvlText w:val="%5."/>
      <w:lvlJc w:val="left"/>
      <w:pPr>
        <w:ind w:left="4320" w:hanging="360"/>
      </w:pPr>
      <w:rPr/>
    </w:lvl>
    <w:lvl w:ilvl="5">
      <w:start w:val="1"/>
      <w:numFmt w:val="lowerRoman"/>
      <w:lvlText w:val="%6."/>
      <w:lvlJc w:val="right"/>
      <w:pPr>
        <w:ind w:left="5040" w:hanging="180"/>
      </w:pPr>
      <w:rPr/>
    </w:lvl>
    <w:lvl w:ilvl="6">
      <w:start w:val="1"/>
      <w:numFmt w:val="decimal"/>
      <w:lvlText w:val="%7."/>
      <w:lvlJc w:val="left"/>
      <w:pPr>
        <w:ind w:left="5760" w:hanging="360"/>
      </w:pPr>
      <w:rPr/>
    </w:lvl>
    <w:lvl w:ilvl="7">
      <w:start w:val="1"/>
      <w:numFmt w:val="lowerLetter"/>
      <w:lvlText w:val="%8."/>
      <w:lvlJc w:val="left"/>
      <w:pPr>
        <w:ind w:left="6480" w:hanging="360"/>
      </w:pPr>
      <w:rPr/>
    </w:lvl>
    <w:lvl w:ilvl="8">
      <w:start w:val="1"/>
      <w:numFmt w:val="lowerRoman"/>
      <w:lvlText w:val="%9."/>
      <w:lvlJc w:val="right"/>
      <w:pPr>
        <w:ind w:left="7200" w:hanging="180"/>
      </w:pPr>
      <w:rPr/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ptos" w:cs="Aptos" w:eastAsia="Aptos" w:hAnsi="Aptos"/>
        <w:sz w:val="24"/>
        <w:szCs w:val="24"/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80" w:before="360" w:lineRule="auto"/>
    </w:pPr>
    <w:rPr>
      <w:rFonts w:ascii="Play" w:cs="Play" w:eastAsia="Play" w:hAnsi="Play"/>
      <w:color w:val="0f4761"/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80" w:before="160" w:lineRule="auto"/>
    </w:pPr>
    <w:rPr>
      <w:rFonts w:ascii="Play" w:cs="Play" w:eastAsia="Play" w:hAnsi="Play"/>
      <w:color w:val="0f4761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160" w:lineRule="auto"/>
    </w:pPr>
    <w:rPr>
      <w:color w:val="0f476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80" w:lineRule="auto"/>
    </w:pPr>
    <w:rPr>
      <w:i w:val="1"/>
      <w:iCs w:val="1"/>
      <w:color w:val="0f4761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80" w:lineRule="auto"/>
    </w:pPr>
    <w:rPr>
      <w:color w:val="0f4761"/>
    </w:rPr>
  </w:style>
  <w:style w:type="paragraph" w:styleId="Heading6">
    <w:name w:val="heading 6"/>
    <w:basedOn w:val="Normal"/>
    <w:next w:val="Normal"/>
    <w:pPr>
      <w:keepNext w:val="1"/>
      <w:keepLines w:val="1"/>
      <w:spacing w:before="40" w:lineRule="auto"/>
    </w:pPr>
    <w:rPr>
      <w:i w:val="1"/>
      <w:iCs w:val="1"/>
      <w:color w:val="595959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image" Target="media/image1.png"/><Relationship Id="rId7" Type="http://schemas.openxmlformats.org/officeDocument/2006/relationships/header" Target="header1.xml"/><Relationship Id="rId8" Type="http://schemas.openxmlformats.org/officeDocument/2006/relationships/footer" Target="footer2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Play-regular.ttf"/><Relationship Id="rId2" Type="http://schemas.openxmlformats.org/officeDocument/2006/relationships/font" Target="fonts/Play-bold.ttf"/><Relationship Id="rId3" Type="http://schemas.openxmlformats.org/officeDocument/2006/relationships/font" Target="fonts/Montserrat-regular.ttf"/><Relationship Id="rId4" Type="http://schemas.openxmlformats.org/officeDocument/2006/relationships/font" Target="fonts/Montserrat-bold.ttf"/><Relationship Id="rId5" Type="http://schemas.openxmlformats.org/officeDocument/2006/relationships/font" Target="fonts/Montserrat-italic.ttf"/><Relationship Id="rId6" Type="http://schemas.openxmlformats.org/officeDocument/2006/relationships/font" Target="fonts/Montserrat-boldItalic.ttf"/><Relationship Id="rId7" Type="http://schemas.openxmlformats.org/officeDocument/2006/relationships/font" Target="fonts/NotoSansSymbols-regular.ttf"/><Relationship Id="rId8" Type="http://schemas.openxmlformats.org/officeDocument/2006/relationships/font" Target="fonts/NotoSansSymbols-bold.ttf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0x010100F0D5355453692343BEDD4E4261DED476</vt:lpwstr>
  </property>
  <property fmtid="{D5CDD505-2E9C-101B-9397-08002B2CF9AE}" pid="3" name="docLang">
    <vt:lpwstr>it</vt:lpwstr>
  </property>
</Properties>
</file>