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8C3E" w14:textId="77777777" w:rsidR="0067583E" w:rsidRPr="009D5318" w:rsidRDefault="0067583E" w:rsidP="0067583E">
      <w:pPr>
        <w:spacing w:line="276" w:lineRule="auto"/>
        <w:jc w:val="center"/>
        <w:rPr>
          <w:rFonts w:ascii="Bookman Old Style" w:hAnsi="Bookman Old Style"/>
        </w:rPr>
      </w:pPr>
      <w:bookmarkStart w:id="0" w:name="_GoBack"/>
      <w:r>
        <w:rPr>
          <w:rFonts w:ascii="Bookman Old Style" w:hAnsi="Bookman Old Style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3CCB838" wp14:editId="62754986">
            <wp:simplePos x="0" y="0"/>
            <wp:positionH relativeFrom="page">
              <wp:align>right</wp:align>
            </wp:positionH>
            <wp:positionV relativeFrom="paragraph">
              <wp:posOffset>-881132</wp:posOffset>
            </wp:positionV>
            <wp:extent cx="7554446" cy="10677964"/>
            <wp:effectExtent l="0" t="0" r="8890" b="0"/>
            <wp:wrapNone/>
            <wp:docPr id="1096340065" name="Immagine 1" descr="Immagine che contiene testo, Rettangolo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340065" name="Immagine 1" descr="Immagine che contiene testo, Rettangolo, Carattere, line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446" cy="10677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7E30875" w14:textId="77777777" w:rsidR="0067583E" w:rsidRPr="009D5318" w:rsidRDefault="0067583E" w:rsidP="0067583E">
      <w:pPr>
        <w:spacing w:line="276" w:lineRule="auto"/>
        <w:jc w:val="center"/>
        <w:rPr>
          <w:rFonts w:ascii="Bookman Old Style" w:hAnsi="Bookman Old Style"/>
        </w:rPr>
      </w:pPr>
    </w:p>
    <w:p w14:paraId="1BC8337E" w14:textId="77777777" w:rsidR="0067583E" w:rsidRPr="009D5318" w:rsidRDefault="0067583E" w:rsidP="0067583E">
      <w:pPr>
        <w:spacing w:line="276" w:lineRule="auto"/>
        <w:rPr>
          <w:rFonts w:ascii="Bookman Old Style" w:hAnsi="Bookman Old Style"/>
        </w:rPr>
      </w:pPr>
    </w:p>
    <w:p w14:paraId="6A6C2B15" w14:textId="77777777" w:rsidR="0067583E" w:rsidRPr="009D5318" w:rsidRDefault="0067583E" w:rsidP="0067583E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14:paraId="52BDBB51" w14:textId="77777777" w:rsidR="0067583E" w:rsidRDefault="0067583E" w:rsidP="0067583E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14:paraId="53C7E179" w14:textId="77777777" w:rsidR="0067583E" w:rsidRDefault="0067583E" w:rsidP="0067583E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14:paraId="3621D100" w14:textId="77777777" w:rsidR="0067583E" w:rsidRDefault="0067583E" w:rsidP="0067583E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14:paraId="4A5BB202" w14:textId="77777777" w:rsidR="0067583E" w:rsidRPr="00145434" w:rsidRDefault="0067583E" w:rsidP="0067583E">
      <w:pPr>
        <w:spacing w:line="276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145434">
        <w:rPr>
          <w:rFonts w:ascii="Trebuchet MS" w:hAnsi="Trebuchet MS"/>
          <w:b/>
          <w:bCs/>
          <w:sz w:val="36"/>
          <w:szCs w:val="36"/>
        </w:rPr>
        <w:t>AUDIZIONE</w:t>
      </w:r>
    </w:p>
    <w:p w14:paraId="3AC8DBBB" w14:textId="77777777" w:rsidR="0067583E" w:rsidRPr="00145434" w:rsidRDefault="0067583E" w:rsidP="0067583E">
      <w:pPr>
        <w:spacing w:line="276" w:lineRule="auto"/>
        <w:jc w:val="center"/>
        <w:rPr>
          <w:rFonts w:ascii="Trebuchet MS" w:hAnsi="Trebuchet MS"/>
          <w:b/>
          <w:bCs/>
        </w:rPr>
      </w:pPr>
    </w:p>
    <w:p w14:paraId="46A26914" w14:textId="77777777" w:rsidR="0067583E" w:rsidRPr="00041E79" w:rsidRDefault="0067583E" w:rsidP="0067583E">
      <w:pPr>
        <w:spacing w:line="276" w:lineRule="auto"/>
        <w:jc w:val="center"/>
        <w:rPr>
          <w:rFonts w:ascii="Trebuchet MS" w:hAnsi="Trebuchet MS"/>
          <w:b/>
          <w:bCs/>
          <w:sz w:val="28"/>
          <w:szCs w:val="28"/>
        </w:rPr>
      </w:pPr>
    </w:p>
    <w:p w14:paraId="7DF844A4" w14:textId="59A19552" w:rsidR="0067583E" w:rsidRDefault="0067583E" w:rsidP="0067583E">
      <w:pPr>
        <w:spacing w:line="276" w:lineRule="auto"/>
        <w:jc w:val="center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Commissioni congiunte Bilancio del Senato della Repubblica </w:t>
      </w: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br/>
        <w:t>e della Camera dei Deputati</w:t>
      </w:r>
    </w:p>
    <w:p w14:paraId="239988A2" w14:textId="77777777" w:rsidR="004570A8" w:rsidRDefault="004570A8" w:rsidP="0067583E">
      <w:pPr>
        <w:spacing w:line="276" w:lineRule="auto"/>
        <w:jc w:val="center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14:paraId="494F47DC" w14:textId="77777777" w:rsidR="00CE5B07" w:rsidRDefault="00CE5B07" w:rsidP="0067583E">
      <w:pPr>
        <w:spacing w:line="276" w:lineRule="auto"/>
        <w:jc w:val="center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14:paraId="386E460F" w14:textId="77777777" w:rsidR="0067583E" w:rsidRDefault="0067583E" w:rsidP="0067583E">
      <w:pPr>
        <w:spacing w:line="276" w:lineRule="auto"/>
        <w:jc w:val="center"/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</w:p>
    <w:p w14:paraId="1D4E0D6C" w14:textId="5630DAC3" w:rsidR="0067583E" w:rsidRDefault="0067583E" w:rsidP="0067583E">
      <w:pPr>
        <w:spacing w:line="276" w:lineRule="auto"/>
        <w:jc w:val="center"/>
        <w:rPr>
          <w:rStyle w:val="normaltextrun"/>
          <w:rFonts w:ascii="Trebuchet MS" w:hAnsi="Trebuchet MS"/>
          <w:i/>
          <w:iCs/>
          <w:color w:val="000000"/>
          <w:shd w:val="clear" w:color="auto" w:fill="FFFFFF"/>
        </w:rPr>
      </w:pPr>
      <w:r w:rsidRPr="00514D5B">
        <w:rPr>
          <w:rFonts w:ascii="Trebuchet MS" w:hAnsi="Trebuchet MS"/>
          <w:color w:val="000000"/>
          <w:shd w:val="clear" w:color="auto" w:fill="FFFFFF"/>
        </w:rPr>
        <w:t>“</w:t>
      </w:r>
      <w:r w:rsidRPr="0067583E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Ddl </w:t>
      </w:r>
      <w:r w:rsidRPr="0067583E">
        <w:rPr>
          <w:rFonts w:ascii="Trebuchet MS" w:hAnsi="Trebuchet MS"/>
          <w:sz w:val="28"/>
          <w:szCs w:val="28"/>
        </w:rPr>
        <w:t>Bilancio di previsione dello Stato per l’anno finanziario 2025</w:t>
      </w:r>
      <w:r w:rsidRPr="00514D5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</w:r>
      <w:r w:rsidRPr="00514D5B">
        <w:rPr>
          <w:rFonts w:ascii="Trebuchet MS" w:hAnsi="Trebuchet MS"/>
        </w:rPr>
        <w:t>e bilancio pluriennale per il triennio 2025-2027 (N. 2112-bis)</w:t>
      </w:r>
      <w:r w:rsidRPr="00514D5B">
        <w:rPr>
          <w:rFonts w:ascii="Trebuchet MS" w:hAnsi="Trebuchet MS"/>
          <w:color w:val="000000"/>
          <w:shd w:val="clear" w:color="auto" w:fill="FFFFFF"/>
        </w:rPr>
        <w:t>”</w:t>
      </w:r>
    </w:p>
    <w:p w14:paraId="5665ADFE" w14:textId="77777777" w:rsidR="0067583E" w:rsidRDefault="0067583E" w:rsidP="0067583E">
      <w:pPr>
        <w:spacing w:line="276" w:lineRule="auto"/>
        <w:jc w:val="center"/>
        <w:rPr>
          <w:rStyle w:val="normaltextrun"/>
          <w:rFonts w:ascii="Trebuchet MS" w:hAnsi="Trebuchet MS"/>
          <w:i/>
          <w:iCs/>
          <w:color w:val="000000"/>
          <w:shd w:val="clear" w:color="auto" w:fill="FFFFFF"/>
        </w:rPr>
      </w:pPr>
    </w:p>
    <w:p w14:paraId="15D0C73D" w14:textId="77777777" w:rsidR="0067583E" w:rsidRDefault="0067583E" w:rsidP="0067583E">
      <w:pPr>
        <w:spacing w:line="276" w:lineRule="auto"/>
        <w:jc w:val="center"/>
        <w:rPr>
          <w:rStyle w:val="normaltextrun"/>
          <w:rFonts w:ascii="Trebuchet MS" w:hAnsi="Trebuchet MS"/>
          <w:i/>
          <w:iCs/>
          <w:color w:val="000000"/>
          <w:shd w:val="clear" w:color="auto" w:fill="FFFFFF"/>
        </w:rPr>
      </w:pPr>
    </w:p>
    <w:p w14:paraId="05781A19" w14:textId="77777777" w:rsidR="0067583E" w:rsidRDefault="0067583E" w:rsidP="0067583E">
      <w:pPr>
        <w:spacing w:line="276" w:lineRule="auto"/>
        <w:jc w:val="center"/>
        <w:rPr>
          <w:rStyle w:val="normaltextrun"/>
          <w:rFonts w:ascii="Trebuchet MS" w:hAnsi="Trebuchet MS"/>
          <w:i/>
          <w:iCs/>
          <w:color w:val="000000"/>
          <w:shd w:val="clear" w:color="auto" w:fill="FFFFFF"/>
        </w:rPr>
      </w:pPr>
    </w:p>
    <w:p w14:paraId="6B8DE7A1" w14:textId="77777777" w:rsidR="0067583E" w:rsidRDefault="0067583E" w:rsidP="0067583E">
      <w:pPr>
        <w:spacing w:line="276" w:lineRule="auto"/>
        <w:jc w:val="center"/>
        <w:rPr>
          <w:rStyle w:val="normaltextrun"/>
          <w:rFonts w:ascii="Trebuchet MS" w:hAnsi="Trebuchet MS"/>
          <w:i/>
          <w:iCs/>
          <w:color w:val="000000"/>
          <w:shd w:val="clear" w:color="auto" w:fill="FFFFFF"/>
        </w:rPr>
      </w:pPr>
    </w:p>
    <w:p w14:paraId="3DFBEE52" w14:textId="77777777" w:rsidR="0067583E" w:rsidRDefault="0067583E" w:rsidP="0067583E">
      <w:pPr>
        <w:spacing w:line="276" w:lineRule="auto"/>
        <w:jc w:val="center"/>
        <w:rPr>
          <w:rStyle w:val="normaltextrun"/>
          <w:rFonts w:ascii="Trebuchet MS" w:hAnsi="Trebuchet MS"/>
          <w:i/>
          <w:iCs/>
          <w:color w:val="000000"/>
          <w:shd w:val="clear" w:color="auto" w:fill="FFFFFF"/>
        </w:rPr>
      </w:pPr>
    </w:p>
    <w:p w14:paraId="04F289BF" w14:textId="77777777" w:rsidR="0067583E" w:rsidRDefault="0067583E" w:rsidP="0067583E">
      <w:pPr>
        <w:spacing w:line="276" w:lineRule="auto"/>
        <w:jc w:val="center"/>
        <w:rPr>
          <w:rStyle w:val="normaltextrun"/>
          <w:rFonts w:ascii="Trebuchet MS" w:hAnsi="Trebuchet MS"/>
          <w:i/>
          <w:iCs/>
          <w:color w:val="000000"/>
          <w:shd w:val="clear" w:color="auto" w:fill="FFFFFF"/>
        </w:rPr>
      </w:pPr>
    </w:p>
    <w:p w14:paraId="679B2293" w14:textId="77777777" w:rsidR="0067583E" w:rsidRDefault="0067583E" w:rsidP="0067583E">
      <w:pPr>
        <w:spacing w:line="276" w:lineRule="auto"/>
        <w:jc w:val="center"/>
        <w:rPr>
          <w:rStyle w:val="normaltextrun"/>
          <w:rFonts w:ascii="Trebuchet MS" w:hAnsi="Trebuchet MS"/>
          <w:i/>
          <w:iCs/>
          <w:color w:val="000000"/>
          <w:shd w:val="clear" w:color="auto" w:fill="FFFFFF"/>
        </w:rPr>
      </w:pPr>
    </w:p>
    <w:p w14:paraId="458A5877" w14:textId="77777777" w:rsidR="0067583E" w:rsidRDefault="0067583E" w:rsidP="0067583E">
      <w:pPr>
        <w:spacing w:line="276" w:lineRule="auto"/>
        <w:jc w:val="center"/>
        <w:rPr>
          <w:rStyle w:val="normaltextrun"/>
          <w:rFonts w:ascii="Trebuchet MS" w:hAnsi="Trebuchet MS"/>
          <w:i/>
          <w:iCs/>
          <w:color w:val="000000"/>
          <w:shd w:val="clear" w:color="auto" w:fill="FFFFFF"/>
        </w:rPr>
      </w:pPr>
    </w:p>
    <w:p w14:paraId="677098C2" w14:textId="77777777" w:rsidR="0067583E" w:rsidRDefault="0067583E" w:rsidP="0067583E">
      <w:pPr>
        <w:spacing w:line="276" w:lineRule="auto"/>
        <w:jc w:val="center"/>
        <w:rPr>
          <w:rStyle w:val="normaltextrun"/>
          <w:rFonts w:ascii="Trebuchet MS" w:hAnsi="Trebuchet MS"/>
          <w:i/>
          <w:iCs/>
          <w:color w:val="000000"/>
          <w:shd w:val="clear" w:color="auto" w:fill="FFFFFF"/>
        </w:rPr>
      </w:pPr>
    </w:p>
    <w:p w14:paraId="65A127E9" w14:textId="77777777" w:rsidR="0067583E" w:rsidRDefault="0067583E" w:rsidP="0067583E">
      <w:pPr>
        <w:spacing w:line="276" w:lineRule="auto"/>
        <w:jc w:val="center"/>
        <w:rPr>
          <w:rStyle w:val="normaltextrun"/>
          <w:rFonts w:ascii="Trebuchet MS" w:hAnsi="Trebuchet MS"/>
          <w:i/>
          <w:iCs/>
          <w:color w:val="000000"/>
          <w:shd w:val="clear" w:color="auto" w:fill="FFFFFF"/>
        </w:rPr>
      </w:pPr>
    </w:p>
    <w:p w14:paraId="728502E3" w14:textId="01667418" w:rsidR="0067583E" w:rsidRPr="00145434" w:rsidRDefault="0067583E" w:rsidP="0067583E">
      <w:pPr>
        <w:spacing w:line="276" w:lineRule="auto"/>
        <w:jc w:val="center"/>
        <w:rPr>
          <w:rFonts w:ascii="Trebuchet MS" w:hAnsi="Trebuchet MS"/>
          <w:b/>
          <w:bCs/>
        </w:rPr>
      </w:pPr>
      <w:r>
        <w:rPr>
          <w:rStyle w:val="normaltextrun"/>
          <w:rFonts w:ascii="Trebuchet MS" w:hAnsi="Trebuchet MS"/>
          <w:i/>
          <w:iCs/>
          <w:color w:val="000000"/>
          <w:shd w:val="clear" w:color="auto" w:fill="FFFFFF"/>
        </w:rPr>
        <w:t>Roma, 5 novembre 2024</w:t>
      </w:r>
    </w:p>
    <w:p w14:paraId="5DDFE5C8" w14:textId="77777777" w:rsidR="00483FA1" w:rsidRDefault="00483FA1">
      <w:pPr>
        <w:rPr>
          <w:b/>
          <w:bCs/>
          <w:color w:val="336699"/>
          <w:sz w:val="32"/>
          <w:szCs w:val="32"/>
        </w:rPr>
      </w:pPr>
      <w:r>
        <w:rPr>
          <w:b/>
          <w:bCs/>
          <w:color w:val="336699"/>
          <w:sz w:val="32"/>
          <w:szCs w:val="32"/>
        </w:rPr>
        <w:br w:type="page"/>
      </w:r>
    </w:p>
    <w:p w14:paraId="408D209D" w14:textId="0D10F050" w:rsidR="007F19BF" w:rsidRPr="00857E5E" w:rsidRDefault="007F19BF" w:rsidP="007F19BF">
      <w:pPr>
        <w:jc w:val="center"/>
        <w:rPr>
          <w:b/>
          <w:bCs/>
          <w:color w:val="336699"/>
          <w:sz w:val="32"/>
          <w:szCs w:val="32"/>
        </w:rPr>
      </w:pPr>
      <w:r>
        <w:rPr>
          <w:b/>
          <w:bCs/>
          <w:color w:val="336699"/>
          <w:sz w:val="32"/>
          <w:szCs w:val="32"/>
        </w:rPr>
        <w:lastRenderedPageBreak/>
        <w:t xml:space="preserve">Il DDL Bilancio 2025 </w:t>
      </w:r>
      <w:r w:rsidRPr="00857E5E">
        <w:rPr>
          <w:b/>
          <w:bCs/>
          <w:color w:val="336699"/>
          <w:sz w:val="32"/>
          <w:szCs w:val="32"/>
        </w:rPr>
        <w:t>e il quadro finanziario dei Comuni</w:t>
      </w:r>
    </w:p>
    <w:p w14:paraId="5B6A780B" w14:textId="77777777" w:rsidR="00E17A13" w:rsidRDefault="00E17A13" w:rsidP="000F40D5">
      <w:pPr>
        <w:jc w:val="center"/>
        <w:rPr>
          <w:b/>
          <w:bCs/>
          <w:color w:val="336699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6512566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990D37" w14:textId="3BE815D1" w:rsidR="00E17A13" w:rsidRDefault="004570A8" w:rsidP="004570A8">
          <w:pPr>
            <w:pStyle w:val="Titolosommario"/>
            <w:jc w:val="center"/>
          </w:pPr>
          <w:r>
            <w:t>Indice</w:t>
          </w:r>
        </w:p>
        <w:p w14:paraId="4E54D3D9" w14:textId="152DF494" w:rsidR="00E17A13" w:rsidRDefault="00E17A13">
          <w:pPr>
            <w:pStyle w:val="Sommario2"/>
            <w:tabs>
              <w:tab w:val="left" w:pos="72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627246" w:history="1">
            <w:r w:rsidRPr="000D6C72">
              <w:rPr>
                <w:rStyle w:val="Collegamentoipertestuale"/>
                <w:b/>
                <w:bCs/>
                <w:noProof/>
              </w:rPr>
              <w:t>1.</w:t>
            </w:r>
            <w:r>
              <w:rPr>
                <w:rFonts w:eastAsiaTheme="minorEastAsia"/>
                <w:noProof/>
                <w:lang w:eastAsia="it-IT"/>
              </w:rPr>
              <w:tab/>
            </w:r>
            <w:r w:rsidRPr="000D6C72">
              <w:rPr>
                <w:rStyle w:val="Collegamentoipertestuale"/>
                <w:b/>
                <w:bCs/>
                <w:noProof/>
              </w:rPr>
              <w:t>Premessa e sintesi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_Toc181627246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E158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00094" w14:textId="1F0CBFB0" w:rsidR="00E17A13" w:rsidRDefault="004E158B">
          <w:pPr>
            <w:pStyle w:val="Sommario2"/>
            <w:tabs>
              <w:tab w:val="left" w:pos="72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81627247" w:history="1">
            <w:r w:rsidR="00E17A13" w:rsidRPr="000D6C72">
              <w:rPr>
                <w:rStyle w:val="Collegamentoipertestuale"/>
                <w:b/>
                <w:bCs/>
                <w:noProof/>
              </w:rPr>
              <w:t>2.</w:t>
            </w:r>
            <w:r w:rsidR="00E17A13">
              <w:rPr>
                <w:rFonts w:eastAsiaTheme="minorEastAsia"/>
                <w:noProof/>
                <w:lang w:eastAsia="it-IT"/>
              </w:rPr>
              <w:tab/>
            </w:r>
            <w:r w:rsidR="00E17A13" w:rsidRPr="000D6C72">
              <w:rPr>
                <w:rStyle w:val="Collegamentoipertestuale"/>
                <w:b/>
                <w:bCs/>
                <w:noProof/>
              </w:rPr>
              <w:t>I contenuti del DDL Bilancio 2025</w:t>
            </w:r>
            <w:r w:rsidR="00E17A13">
              <w:rPr>
                <w:noProof/>
                <w:webHidden/>
              </w:rPr>
              <w:tab/>
            </w:r>
            <w:r w:rsidR="00E17A13">
              <w:rPr>
                <w:noProof/>
                <w:webHidden/>
              </w:rPr>
              <w:fldChar w:fldCharType="begin"/>
            </w:r>
            <w:r w:rsidR="00E17A13">
              <w:rPr>
                <w:noProof/>
                <w:webHidden/>
              </w:rPr>
              <w:instrText xml:space="preserve"> PAGEREF _Toc181627247 \h </w:instrText>
            </w:r>
            <w:r w:rsidR="00E17A13">
              <w:rPr>
                <w:noProof/>
                <w:webHidden/>
              </w:rPr>
            </w:r>
            <w:r w:rsidR="00E17A1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17A13">
              <w:rPr>
                <w:noProof/>
                <w:webHidden/>
              </w:rPr>
              <w:fldChar w:fldCharType="end"/>
            </w:r>
          </w:hyperlink>
        </w:p>
        <w:p w14:paraId="4332F1F3" w14:textId="12647851" w:rsidR="00E17A13" w:rsidRDefault="004E158B">
          <w:pPr>
            <w:pStyle w:val="Sommario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81627248" w:history="1">
            <w:r w:rsidR="00E17A13" w:rsidRPr="000D6C72">
              <w:rPr>
                <w:rStyle w:val="Collegamentoipertestuale"/>
                <w:i/>
                <w:iCs/>
                <w:noProof/>
              </w:rPr>
              <w:t xml:space="preserve">2.1 </w:t>
            </w:r>
            <w:r w:rsidR="00E17A13">
              <w:rPr>
                <w:rFonts w:eastAsiaTheme="minorEastAsia"/>
                <w:noProof/>
                <w:lang w:eastAsia="it-IT"/>
              </w:rPr>
              <w:tab/>
            </w:r>
            <w:r w:rsidR="00E17A13" w:rsidRPr="000D6C72">
              <w:rPr>
                <w:rStyle w:val="Collegamentoipertestuale"/>
                <w:i/>
                <w:iCs/>
                <w:noProof/>
              </w:rPr>
              <w:t>Accentuazione dei vincoli alla spesa corrente degli enti locali</w:t>
            </w:r>
            <w:r w:rsidR="00E17A13">
              <w:rPr>
                <w:noProof/>
                <w:webHidden/>
              </w:rPr>
              <w:tab/>
            </w:r>
            <w:r w:rsidR="00E17A13">
              <w:rPr>
                <w:noProof/>
                <w:webHidden/>
              </w:rPr>
              <w:fldChar w:fldCharType="begin"/>
            </w:r>
            <w:r w:rsidR="00E17A13">
              <w:rPr>
                <w:noProof/>
                <w:webHidden/>
              </w:rPr>
              <w:instrText xml:space="preserve"> PAGEREF _Toc181627248 \h </w:instrText>
            </w:r>
            <w:r w:rsidR="00E17A13">
              <w:rPr>
                <w:noProof/>
                <w:webHidden/>
              </w:rPr>
            </w:r>
            <w:r w:rsidR="00E17A1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17A13">
              <w:rPr>
                <w:noProof/>
                <w:webHidden/>
              </w:rPr>
              <w:fldChar w:fldCharType="end"/>
            </w:r>
          </w:hyperlink>
        </w:p>
        <w:p w14:paraId="1478DC5C" w14:textId="4B590439" w:rsidR="00E17A13" w:rsidRDefault="004E158B">
          <w:pPr>
            <w:pStyle w:val="Sommario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81627249" w:history="1">
            <w:r w:rsidR="00E17A13" w:rsidRPr="000D6C72">
              <w:rPr>
                <w:rStyle w:val="Collegamentoipertestuale"/>
                <w:i/>
                <w:iCs/>
                <w:noProof/>
              </w:rPr>
              <w:t>2.2</w:t>
            </w:r>
            <w:r w:rsidR="00E17A13">
              <w:rPr>
                <w:rFonts w:eastAsiaTheme="minorEastAsia"/>
                <w:noProof/>
                <w:lang w:eastAsia="it-IT"/>
              </w:rPr>
              <w:tab/>
            </w:r>
            <w:r w:rsidR="00E17A13" w:rsidRPr="000D6C72">
              <w:rPr>
                <w:rStyle w:val="Collegamentoipertestuale"/>
                <w:i/>
                <w:iCs/>
                <w:noProof/>
              </w:rPr>
              <w:t xml:space="preserve"> Le riduzioni dei contributi statali agli investimenti locali</w:t>
            </w:r>
            <w:r w:rsidR="00E17A13">
              <w:rPr>
                <w:noProof/>
                <w:webHidden/>
              </w:rPr>
              <w:tab/>
            </w:r>
            <w:r w:rsidR="00E17A13">
              <w:rPr>
                <w:noProof/>
                <w:webHidden/>
              </w:rPr>
              <w:fldChar w:fldCharType="begin"/>
            </w:r>
            <w:r w:rsidR="00E17A13">
              <w:rPr>
                <w:noProof/>
                <w:webHidden/>
              </w:rPr>
              <w:instrText xml:space="preserve"> PAGEREF _Toc181627249 \h </w:instrText>
            </w:r>
            <w:r w:rsidR="00E17A13">
              <w:rPr>
                <w:noProof/>
                <w:webHidden/>
              </w:rPr>
            </w:r>
            <w:r w:rsidR="00E17A1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17A13">
              <w:rPr>
                <w:noProof/>
                <w:webHidden/>
              </w:rPr>
              <w:fldChar w:fldCharType="end"/>
            </w:r>
          </w:hyperlink>
        </w:p>
        <w:p w14:paraId="7BAA6A2B" w14:textId="7D29B26C" w:rsidR="00E17A13" w:rsidRDefault="004E158B">
          <w:pPr>
            <w:pStyle w:val="Sommario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81627250" w:history="1">
            <w:r w:rsidR="00E17A13" w:rsidRPr="000D6C72">
              <w:rPr>
                <w:rStyle w:val="Collegamentoipertestuale"/>
                <w:i/>
                <w:iCs/>
                <w:noProof/>
              </w:rPr>
              <w:t xml:space="preserve">2.3 </w:t>
            </w:r>
            <w:r w:rsidR="00E17A13">
              <w:rPr>
                <w:rFonts w:eastAsiaTheme="minorEastAsia"/>
                <w:noProof/>
                <w:lang w:eastAsia="it-IT"/>
              </w:rPr>
              <w:tab/>
            </w:r>
            <w:r w:rsidR="00E17A13" w:rsidRPr="000D6C72">
              <w:rPr>
                <w:rStyle w:val="Collegamentoipertestuale"/>
                <w:i/>
                <w:iCs/>
                <w:noProof/>
              </w:rPr>
              <w:t>Contributi di parte corrente</w:t>
            </w:r>
            <w:r w:rsidR="00E17A13">
              <w:rPr>
                <w:noProof/>
                <w:webHidden/>
              </w:rPr>
              <w:tab/>
            </w:r>
            <w:r w:rsidR="00E17A13">
              <w:rPr>
                <w:noProof/>
                <w:webHidden/>
              </w:rPr>
              <w:fldChar w:fldCharType="begin"/>
            </w:r>
            <w:r w:rsidR="00E17A13">
              <w:rPr>
                <w:noProof/>
                <w:webHidden/>
              </w:rPr>
              <w:instrText xml:space="preserve"> PAGEREF _Toc181627250 \h </w:instrText>
            </w:r>
            <w:r w:rsidR="00E17A13">
              <w:rPr>
                <w:noProof/>
                <w:webHidden/>
              </w:rPr>
            </w:r>
            <w:r w:rsidR="00E17A1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17A13">
              <w:rPr>
                <w:noProof/>
                <w:webHidden/>
              </w:rPr>
              <w:fldChar w:fldCharType="end"/>
            </w:r>
          </w:hyperlink>
        </w:p>
        <w:p w14:paraId="53B7EF07" w14:textId="258DB2CC" w:rsidR="00E17A13" w:rsidRDefault="004E158B">
          <w:pPr>
            <w:pStyle w:val="Sommario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81627251" w:history="1">
            <w:r w:rsidR="00E17A13" w:rsidRPr="000D6C72">
              <w:rPr>
                <w:rStyle w:val="Collegamentoipertestuale"/>
                <w:i/>
                <w:iCs/>
                <w:noProof/>
              </w:rPr>
              <w:t xml:space="preserve">2.4 </w:t>
            </w:r>
            <w:r w:rsidR="00E17A13">
              <w:rPr>
                <w:rFonts w:eastAsiaTheme="minorEastAsia"/>
                <w:noProof/>
                <w:lang w:eastAsia="it-IT"/>
              </w:rPr>
              <w:tab/>
            </w:r>
            <w:r w:rsidR="00E17A13" w:rsidRPr="000D6C72">
              <w:rPr>
                <w:rStyle w:val="Collegamentoipertestuale"/>
                <w:i/>
                <w:iCs/>
                <w:noProof/>
              </w:rPr>
              <w:t>Personale (art.110)</w:t>
            </w:r>
            <w:r w:rsidR="00E17A13">
              <w:rPr>
                <w:noProof/>
                <w:webHidden/>
              </w:rPr>
              <w:tab/>
            </w:r>
            <w:r w:rsidR="00E17A13">
              <w:rPr>
                <w:noProof/>
                <w:webHidden/>
              </w:rPr>
              <w:fldChar w:fldCharType="begin"/>
            </w:r>
            <w:r w:rsidR="00E17A13">
              <w:rPr>
                <w:noProof/>
                <w:webHidden/>
              </w:rPr>
              <w:instrText xml:space="preserve"> PAGEREF _Toc181627251 \h </w:instrText>
            </w:r>
            <w:r w:rsidR="00E17A13">
              <w:rPr>
                <w:noProof/>
                <w:webHidden/>
              </w:rPr>
            </w:r>
            <w:r w:rsidR="00E17A1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17A13">
              <w:rPr>
                <w:noProof/>
                <w:webHidden/>
              </w:rPr>
              <w:fldChar w:fldCharType="end"/>
            </w:r>
          </w:hyperlink>
        </w:p>
        <w:p w14:paraId="5259BFAD" w14:textId="54478D7E" w:rsidR="00E17A13" w:rsidRDefault="004E158B">
          <w:pPr>
            <w:pStyle w:val="Sommario2"/>
            <w:tabs>
              <w:tab w:val="left" w:pos="72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81627252" w:history="1">
            <w:r w:rsidR="00E17A13" w:rsidRPr="000D6C72">
              <w:rPr>
                <w:rStyle w:val="Collegamentoipertestuale"/>
                <w:b/>
                <w:bCs/>
                <w:noProof/>
              </w:rPr>
              <w:t>3.</w:t>
            </w:r>
            <w:r w:rsidR="00E17A13">
              <w:rPr>
                <w:rFonts w:eastAsiaTheme="minorEastAsia"/>
                <w:noProof/>
                <w:lang w:eastAsia="it-IT"/>
              </w:rPr>
              <w:tab/>
            </w:r>
            <w:r w:rsidR="00E17A13" w:rsidRPr="000D6C72">
              <w:rPr>
                <w:rStyle w:val="Collegamentoipertestuale"/>
                <w:b/>
                <w:bCs/>
                <w:noProof/>
              </w:rPr>
              <w:t>I dati della finanza locale</w:t>
            </w:r>
            <w:r w:rsidR="00E17A13">
              <w:rPr>
                <w:noProof/>
                <w:webHidden/>
              </w:rPr>
              <w:tab/>
            </w:r>
            <w:r w:rsidR="00E17A13">
              <w:rPr>
                <w:noProof/>
                <w:webHidden/>
              </w:rPr>
              <w:fldChar w:fldCharType="begin"/>
            </w:r>
            <w:r w:rsidR="00E17A13">
              <w:rPr>
                <w:noProof/>
                <w:webHidden/>
              </w:rPr>
              <w:instrText xml:space="preserve"> PAGEREF _Toc181627252 \h </w:instrText>
            </w:r>
            <w:r w:rsidR="00E17A13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Errore. Il segnalibro non è definito.</w:t>
            </w:r>
            <w:r w:rsidR="00E17A13">
              <w:rPr>
                <w:noProof/>
                <w:webHidden/>
              </w:rPr>
              <w:fldChar w:fldCharType="end"/>
            </w:r>
          </w:hyperlink>
        </w:p>
        <w:p w14:paraId="581B2B69" w14:textId="5EBF7200" w:rsidR="00E17A13" w:rsidRDefault="004E158B">
          <w:pPr>
            <w:pStyle w:val="Sommario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81627253" w:history="1">
            <w:r w:rsidR="00E17A13" w:rsidRPr="000D6C72">
              <w:rPr>
                <w:rStyle w:val="Collegamentoipertestuale"/>
                <w:i/>
                <w:iCs/>
                <w:noProof/>
              </w:rPr>
              <w:t xml:space="preserve">3.1 </w:t>
            </w:r>
            <w:r w:rsidR="00E17A13">
              <w:rPr>
                <w:rFonts w:eastAsiaTheme="minorEastAsia"/>
                <w:noProof/>
                <w:lang w:eastAsia="it-IT"/>
              </w:rPr>
              <w:tab/>
            </w:r>
            <w:r w:rsidR="00E17A13" w:rsidRPr="000D6C72">
              <w:rPr>
                <w:rStyle w:val="Collegamentoipertestuale"/>
                <w:i/>
                <w:iCs/>
                <w:noProof/>
              </w:rPr>
              <w:t>La spesa primaria netta e gli enti locali</w:t>
            </w:r>
            <w:r w:rsidR="00E17A13">
              <w:rPr>
                <w:noProof/>
                <w:webHidden/>
              </w:rPr>
              <w:tab/>
            </w:r>
            <w:r w:rsidR="00E17A13">
              <w:rPr>
                <w:noProof/>
                <w:webHidden/>
              </w:rPr>
              <w:fldChar w:fldCharType="begin"/>
            </w:r>
            <w:r w:rsidR="00E17A13">
              <w:rPr>
                <w:noProof/>
                <w:webHidden/>
              </w:rPr>
              <w:instrText xml:space="preserve"> PAGEREF _Toc181627253 \h </w:instrText>
            </w:r>
            <w:r w:rsidR="00E17A13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Errore. Il segnalibro non è definito.</w:t>
            </w:r>
            <w:r w:rsidR="00E17A13">
              <w:rPr>
                <w:noProof/>
                <w:webHidden/>
              </w:rPr>
              <w:fldChar w:fldCharType="end"/>
            </w:r>
          </w:hyperlink>
        </w:p>
        <w:p w14:paraId="255D33A3" w14:textId="1F671C84" w:rsidR="00E17A13" w:rsidRDefault="004E158B">
          <w:pPr>
            <w:pStyle w:val="Sommario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81627254" w:history="1">
            <w:r w:rsidR="00E17A13" w:rsidRPr="000D6C72">
              <w:rPr>
                <w:rStyle w:val="Collegamentoipertestuale"/>
                <w:i/>
                <w:iCs/>
                <w:noProof/>
              </w:rPr>
              <w:t xml:space="preserve">3.2 </w:t>
            </w:r>
            <w:r w:rsidR="00E17A13">
              <w:rPr>
                <w:rFonts w:eastAsiaTheme="minorEastAsia"/>
                <w:noProof/>
                <w:lang w:eastAsia="it-IT"/>
              </w:rPr>
              <w:tab/>
            </w:r>
            <w:r w:rsidR="00E17A13" w:rsidRPr="000D6C72">
              <w:rPr>
                <w:rStyle w:val="Collegamentoipertestuale"/>
                <w:i/>
                <w:iCs/>
                <w:noProof/>
              </w:rPr>
              <w:t>Il contributo di Comuni e Città metropolitane alla finanza pubblica</w:t>
            </w:r>
            <w:r w:rsidR="00E17A13">
              <w:rPr>
                <w:noProof/>
                <w:webHidden/>
              </w:rPr>
              <w:tab/>
            </w:r>
            <w:r w:rsidR="00E17A13">
              <w:rPr>
                <w:noProof/>
                <w:webHidden/>
              </w:rPr>
              <w:fldChar w:fldCharType="begin"/>
            </w:r>
            <w:r w:rsidR="00E17A13">
              <w:rPr>
                <w:noProof/>
                <w:webHidden/>
              </w:rPr>
              <w:instrText xml:space="preserve"> PAGEREF _Toc181627254 \h </w:instrText>
            </w:r>
            <w:r w:rsidR="00E17A13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Errore. Il segnalibro non è definito.</w:t>
            </w:r>
            <w:r w:rsidR="00E17A13">
              <w:rPr>
                <w:noProof/>
                <w:webHidden/>
              </w:rPr>
              <w:fldChar w:fldCharType="end"/>
            </w:r>
          </w:hyperlink>
        </w:p>
        <w:p w14:paraId="0392BB8D" w14:textId="07110454" w:rsidR="00E17A13" w:rsidRDefault="004E158B">
          <w:pPr>
            <w:pStyle w:val="Sommario3"/>
            <w:tabs>
              <w:tab w:val="left" w:pos="120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181627255" w:history="1">
            <w:r w:rsidR="00E17A13" w:rsidRPr="000D6C72">
              <w:rPr>
                <w:rStyle w:val="Collegamentoipertestuale"/>
                <w:i/>
                <w:iCs/>
                <w:noProof/>
              </w:rPr>
              <w:t xml:space="preserve">3.3 </w:t>
            </w:r>
            <w:r w:rsidR="00E17A13">
              <w:rPr>
                <w:rFonts w:eastAsiaTheme="minorEastAsia"/>
                <w:noProof/>
                <w:lang w:eastAsia="it-IT"/>
              </w:rPr>
              <w:tab/>
            </w:r>
            <w:r w:rsidR="00E17A13" w:rsidRPr="000D6C72">
              <w:rPr>
                <w:rStyle w:val="Collegamentoipertestuale"/>
                <w:i/>
                <w:iCs/>
                <w:noProof/>
              </w:rPr>
              <w:t>Dualismi e perequazione</w:t>
            </w:r>
            <w:r w:rsidR="00E17A13">
              <w:rPr>
                <w:noProof/>
                <w:webHidden/>
              </w:rPr>
              <w:tab/>
            </w:r>
            <w:r w:rsidR="00E17A13">
              <w:rPr>
                <w:noProof/>
                <w:webHidden/>
              </w:rPr>
              <w:fldChar w:fldCharType="begin"/>
            </w:r>
            <w:r w:rsidR="00E17A13">
              <w:rPr>
                <w:noProof/>
                <w:webHidden/>
              </w:rPr>
              <w:instrText xml:space="preserve"> PAGEREF _Toc181627255 \h </w:instrText>
            </w:r>
            <w:r w:rsidR="00E17A13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Errore. Il segnalibro non è definito.</w:t>
            </w:r>
            <w:r w:rsidR="00E17A13">
              <w:rPr>
                <w:noProof/>
                <w:webHidden/>
              </w:rPr>
              <w:fldChar w:fldCharType="end"/>
            </w:r>
          </w:hyperlink>
        </w:p>
        <w:p w14:paraId="639CC86D" w14:textId="2F31C0B4" w:rsidR="00E17A13" w:rsidRDefault="00E17A13">
          <w:r>
            <w:rPr>
              <w:b/>
              <w:bCs/>
            </w:rPr>
            <w:fldChar w:fldCharType="end"/>
          </w:r>
        </w:p>
      </w:sdtContent>
    </w:sdt>
    <w:p w14:paraId="2306B29A" w14:textId="77777777" w:rsidR="00032D18" w:rsidRPr="007F0401" w:rsidRDefault="00032D18" w:rsidP="000F40D5">
      <w:pPr>
        <w:jc w:val="center"/>
        <w:rPr>
          <w:b/>
          <w:bCs/>
          <w:sz w:val="28"/>
          <w:szCs w:val="28"/>
        </w:rPr>
      </w:pPr>
    </w:p>
    <w:p w14:paraId="1EB0619E" w14:textId="5E30CF37" w:rsidR="00A24B99" w:rsidRPr="002164A9" w:rsidRDefault="00A24B99" w:rsidP="00874CAC">
      <w:pPr>
        <w:pStyle w:val="Titolo2"/>
        <w:numPr>
          <w:ilvl w:val="0"/>
          <w:numId w:val="13"/>
        </w:numPr>
        <w:rPr>
          <w:b/>
          <w:bCs/>
        </w:rPr>
      </w:pPr>
      <w:bookmarkStart w:id="1" w:name="_Toc181627246"/>
      <w:r w:rsidRPr="002164A9">
        <w:rPr>
          <w:b/>
          <w:bCs/>
        </w:rPr>
        <w:t>Premessa e sintesi</w:t>
      </w:r>
      <w:bookmarkEnd w:id="1"/>
    </w:p>
    <w:p w14:paraId="1E74FDAD" w14:textId="7A6563BE" w:rsidR="00053A6B" w:rsidRPr="00FA1A79" w:rsidRDefault="00E10963" w:rsidP="00DA53C8">
      <w:pPr>
        <w:jc w:val="both"/>
        <w:rPr>
          <w:rFonts w:ascii="Bookman Old Style" w:hAnsi="Bookman Old Style"/>
        </w:rPr>
      </w:pPr>
      <w:r w:rsidRPr="00FA1A79">
        <w:rPr>
          <w:rFonts w:ascii="Bookman Old Style" w:hAnsi="Bookman Old Style"/>
        </w:rPr>
        <w:t xml:space="preserve">Con il DDL Bilancio 2025 si dà attuazione al programma di rientro </w:t>
      </w:r>
      <w:r w:rsidR="00D74A54" w:rsidRPr="00FA1A79">
        <w:rPr>
          <w:rFonts w:ascii="Bookman Old Style" w:hAnsi="Bookman Old Style"/>
        </w:rPr>
        <w:t>dal deficit eccessivo e, al tempo stess</w:t>
      </w:r>
      <w:r w:rsidR="00B21A51" w:rsidRPr="00FA1A79">
        <w:rPr>
          <w:rFonts w:ascii="Bookman Old Style" w:hAnsi="Bookman Old Style"/>
        </w:rPr>
        <w:t>o</w:t>
      </w:r>
      <w:r w:rsidR="00A84965" w:rsidRPr="00FA1A79">
        <w:rPr>
          <w:rFonts w:ascii="Bookman Old Style" w:hAnsi="Bookman Old Style"/>
        </w:rPr>
        <w:t>,</w:t>
      </w:r>
      <w:r w:rsidR="00D74A54" w:rsidRPr="00FA1A79">
        <w:rPr>
          <w:rFonts w:ascii="Bookman Old Style" w:hAnsi="Bookman Old Style"/>
        </w:rPr>
        <w:t xml:space="preserve"> si imposta la traiettoria di convergenza derivante da</w:t>
      </w:r>
      <w:r w:rsidR="00A83FE5" w:rsidRPr="00FA1A79">
        <w:rPr>
          <w:rFonts w:ascii="Bookman Old Style" w:hAnsi="Bookman Old Style"/>
        </w:rPr>
        <w:t>l nuovo patto di stabilità europeo (la “</w:t>
      </w:r>
      <w:r w:rsidR="00A83FE5" w:rsidRPr="00FA1A79">
        <w:rPr>
          <w:rFonts w:ascii="Bookman Old Style" w:hAnsi="Bookman Old Style"/>
          <w:i/>
          <w:iCs/>
        </w:rPr>
        <w:t>nuova governance</w:t>
      </w:r>
      <w:r w:rsidR="00A83FE5" w:rsidRPr="00FA1A79">
        <w:rPr>
          <w:rFonts w:ascii="Bookman Old Style" w:hAnsi="Bookman Old Style"/>
        </w:rPr>
        <w:t>”)</w:t>
      </w:r>
      <w:r w:rsidR="00E54381" w:rsidRPr="00FA1A79">
        <w:rPr>
          <w:rFonts w:ascii="Bookman Old Style" w:hAnsi="Bookman Old Style"/>
        </w:rPr>
        <w:t>, i cui tratti essenziali sono rappresentati nel Piano strutturale di bilancio (PSB</w:t>
      </w:r>
      <w:r w:rsidR="00A84965" w:rsidRPr="00FA1A79">
        <w:rPr>
          <w:rFonts w:ascii="Bookman Old Style" w:hAnsi="Bookman Old Style"/>
        </w:rPr>
        <w:t>)</w:t>
      </w:r>
      <w:r w:rsidR="00E54381" w:rsidRPr="00FA1A79">
        <w:rPr>
          <w:rFonts w:ascii="Bookman Old Style" w:hAnsi="Bookman Old Style"/>
        </w:rPr>
        <w:t xml:space="preserve"> dello scorso settembre.</w:t>
      </w:r>
    </w:p>
    <w:p w14:paraId="4D7F1E68" w14:textId="296A5728" w:rsidR="00A472C7" w:rsidRPr="00FA1A79" w:rsidRDefault="00A472C7" w:rsidP="00DA53C8">
      <w:pPr>
        <w:jc w:val="both"/>
        <w:rPr>
          <w:rFonts w:ascii="Bookman Old Style" w:hAnsi="Bookman Old Style"/>
        </w:rPr>
      </w:pPr>
      <w:r w:rsidRPr="00FA1A79">
        <w:rPr>
          <w:rFonts w:ascii="Bookman Old Style" w:hAnsi="Bookman Old Style"/>
        </w:rPr>
        <w:t xml:space="preserve">L’analisi dei contenuti del DDL </w:t>
      </w:r>
      <w:r w:rsidR="00EB0080" w:rsidRPr="00FA1A79">
        <w:rPr>
          <w:rFonts w:ascii="Bookman Old Style" w:hAnsi="Bookman Old Style"/>
        </w:rPr>
        <w:t xml:space="preserve">evidenzia </w:t>
      </w:r>
      <w:r w:rsidRPr="00FA1A79">
        <w:rPr>
          <w:rFonts w:ascii="Bookman Old Style" w:hAnsi="Bookman Old Style"/>
        </w:rPr>
        <w:t xml:space="preserve">alcuni temi critici, quali quelli riguardanti i vincoli sul personale e l’esigenza di </w:t>
      </w:r>
      <w:r w:rsidRPr="00082C16">
        <w:rPr>
          <w:rFonts w:ascii="Bookman Old Style" w:hAnsi="Bookman Old Style"/>
        </w:rPr>
        <w:t>garantire</w:t>
      </w:r>
      <w:r w:rsidRPr="00FA1A79">
        <w:rPr>
          <w:rFonts w:ascii="Bookman Old Style" w:hAnsi="Bookman Old Style"/>
        </w:rPr>
        <w:t xml:space="preserve"> il soddisfacimento dell’erogazione dei servizi essenziali che potrebbero essere compromessi da riduzioni della spesa corrente.</w:t>
      </w:r>
    </w:p>
    <w:p w14:paraId="4E6DB0CC" w14:textId="19B9D91C" w:rsidR="005A004C" w:rsidRPr="00FA1A79" w:rsidRDefault="005A004C" w:rsidP="00DA53C8">
      <w:pPr>
        <w:jc w:val="both"/>
        <w:rPr>
          <w:rFonts w:ascii="Bookman Old Style" w:hAnsi="Bookman Old Style"/>
        </w:rPr>
      </w:pPr>
      <w:r w:rsidRPr="00FA1A79">
        <w:rPr>
          <w:rFonts w:ascii="Bookman Old Style" w:hAnsi="Bookman Old Style"/>
        </w:rPr>
        <w:t>Riportiamo in append</w:t>
      </w:r>
      <w:r w:rsidR="0015404E" w:rsidRPr="00FA1A79">
        <w:rPr>
          <w:rFonts w:ascii="Bookman Old Style" w:hAnsi="Bookman Old Style"/>
        </w:rPr>
        <w:t>i</w:t>
      </w:r>
      <w:r w:rsidRPr="00FA1A79">
        <w:rPr>
          <w:rFonts w:ascii="Bookman Old Style" w:hAnsi="Bookman Old Style"/>
        </w:rPr>
        <w:t xml:space="preserve">ce i dati dell’andamento della spesa comunale e delle principali grandezze che </w:t>
      </w:r>
      <w:r w:rsidR="00DA1223" w:rsidRPr="00FA1A79">
        <w:rPr>
          <w:rFonts w:ascii="Bookman Old Style" w:hAnsi="Bookman Old Style"/>
        </w:rPr>
        <w:t>caratterizzano il comparto</w:t>
      </w:r>
      <w:r w:rsidR="00AF2921" w:rsidRPr="00FA1A79">
        <w:rPr>
          <w:rFonts w:ascii="Bookman Old Style" w:hAnsi="Bookman Old Style"/>
        </w:rPr>
        <w:t xml:space="preserve">. Da quei dati, come argomentato nelle precedenti audizioni </w:t>
      </w:r>
      <w:r w:rsidR="00EF5E9A" w:rsidRPr="00FA1A79">
        <w:rPr>
          <w:rFonts w:ascii="Bookman Old Style" w:hAnsi="Bookman Old Style"/>
        </w:rPr>
        <w:t xml:space="preserve">su </w:t>
      </w:r>
      <w:r w:rsidR="006539AB" w:rsidRPr="00FA1A79">
        <w:rPr>
          <w:rFonts w:ascii="Bookman Old Style" w:hAnsi="Bookman Old Style"/>
        </w:rPr>
        <w:t xml:space="preserve">nuova </w:t>
      </w:r>
      <w:r w:rsidR="006539AB" w:rsidRPr="00FA1A79">
        <w:rPr>
          <w:rFonts w:ascii="Bookman Old Style" w:hAnsi="Bookman Old Style"/>
          <w:i/>
          <w:iCs/>
        </w:rPr>
        <w:t xml:space="preserve">governance </w:t>
      </w:r>
      <w:r w:rsidR="006539AB" w:rsidRPr="00FA1A79">
        <w:rPr>
          <w:rFonts w:ascii="Bookman Old Style" w:hAnsi="Bookman Old Style"/>
        </w:rPr>
        <w:t xml:space="preserve">UE e PSB, emerge una sostanziale stabilità della spesa corrente </w:t>
      </w:r>
      <w:r w:rsidR="008534C0" w:rsidRPr="00FA1A79">
        <w:rPr>
          <w:rFonts w:ascii="Bookman Old Style" w:hAnsi="Bookman Old Style"/>
        </w:rPr>
        <w:t>dei Comuni che fatica a contrastare gli incrementi dei prezzi intervenuti tra il 2021 e il 2022</w:t>
      </w:r>
      <w:r w:rsidR="00DC1D66">
        <w:rPr>
          <w:rFonts w:ascii="Bookman Old Style" w:hAnsi="Bookman Old Style"/>
        </w:rPr>
        <w:t>,</w:t>
      </w:r>
      <w:r w:rsidR="008534C0" w:rsidRPr="00FA1A79">
        <w:rPr>
          <w:rFonts w:ascii="Bookman Old Style" w:hAnsi="Bookman Old Style"/>
        </w:rPr>
        <w:t xml:space="preserve"> in ragione di un</w:t>
      </w:r>
      <w:r w:rsidR="00790EB5" w:rsidRPr="00FA1A79">
        <w:rPr>
          <w:rFonts w:ascii="Bookman Old Style" w:hAnsi="Bookman Old Style"/>
        </w:rPr>
        <w:t>a</w:t>
      </w:r>
      <w:r w:rsidR="008534C0" w:rsidRPr="00FA1A79">
        <w:rPr>
          <w:rFonts w:ascii="Bookman Old Style" w:hAnsi="Bookman Old Style"/>
        </w:rPr>
        <w:t xml:space="preserve"> struttura delle entrate rigida e poco sensibile </w:t>
      </w:r>
      <w:r w:rsidR="00B3009B" w:rsidRPr="00FA1A79">
        <w:rPr>
          <w:rFonts w:ascii="Bookman Old Style" w:hAnsi="Bookman Old Style"/>
        </w:rPr>
        <w:t>alla dinamica del PIL nominale</w:t>
      </w:r>
      <w:r w:rsidR="009B71D6" w:rsidRPr="00FA1A79">
        <w:rPr>
          <w:rFonts w:ascii="Bookman Old Style" w:hAnsi="Bookman Old Style"/>
        </w:rPr>
        <w:t>.</w:t>
      </w:r>
      <w:r w:rsidR="000F40D5" w:rsidRPr="00FA1A79">
        <w:rPr>
          <w:rFonts w:ascii="Bookman Old Style" w:hAnsi="Bookman Old Style"/>
        </w:rPr>
        <w:t xml:space="preserve"> L’incidenza della spesa comunale sul totale della spesa PA si è ridotta dall’8% al 6,5% nell’ultimo decennio, a fronte di un aumento di costi e di competenze. Una ulteriore compressione </w:t>
      </w:r>
      <w:r w:rsidR="00494E09" w:rsidRPr="00FA1A79">
        <w:rPr>
          <w:rFonts w:ascii="Bookman Old Style" w:hAnsi="Bookman Old Style"/>
        </w:rPr>
        <w:t>mette obiettivamente a rischio i servizi necessari per garantire il funzionamento della vita delle comunità, dal sociale alla mobilità</w:t>
      </w:r>
    </w:p>
    <w:p w14:paraId="1477ECE9" w14:textId="5A7DB069" w:rsidR="000303C7" w:rsidRPr="00FA1A79" w:rsidRDefault="000303C7" w:rsidP="00DA53C8">
      <w:pPr>
        <w:jc w:val="both"/>
        <w:rPr>
          <w:rFonts w:ascii="Bookman Old Style" w:hAnsi="Bookman Old Style"/>
        </w:rPr>
      </w:pPr>
      <w:r w:rsidRPr="00FA1A79">
        <w:rPr>
          <w:rFonts w:ascii="Bookman Old Style" w:hAnsi="Bookman Old Style"/>
        </w:rPr>
        <w:lastRenderedPageBreak/>
        <w:t xml:space="preserve">A questo si aggiunga che l’andamento strettamente decrescente delle dotazioni di personale </w:t>
      </w:r>
      <w:r w:rsidR="007C6DBE" w:rsidRPr="00FA1A79">
        <w:rPr>
          <w:rFonts w:ascii="Bookman Old Style" w:hAnsi="Bookman Old Style"/>
        </w:rPr>
        <w:t>registrato negli ultimi 10-15 anni</w:t>
      </w:r>
      <w:r w:rsidR="00F27FC8" w:rsidRPr="00FA1A79">
        <w:rPr>
          <w:rFonts w:ascii="Bookman Old Style" w:hAnsi="Bookman Old Style"/>
        </w:rPr>
        <w:t xml:space="preserve"> rende insostenibile le ulteriori restrizioni recate dal DDL Bilancio</w:t>
      </w:r>
      <w:r w:rsidR="00494E09" w:rsidRPr="00FA1A79">
        <w:rPr>
          <w:rFonts w:ascii="Bookman Old Style" w:hAnsi="Bookman Old Style"/>
        </w:rPr>
        <w:t xml:space="preserve">, che prevede </w:t>
      </w:r>
      <w:r w:rsidR="001D1BD6" w:rsidRPr="00FA1A79">
        <w:rPr>
          <w:rFonts w:ascii="Bookman Old Style" w:hAnsi="Bookman Old Style"/>
        </w:rPr>
        <w:t xml:space="preserve">limiti alla copertura del turn-over </w:t>
      </w:r>
      <w:r w:rsidR="00494E09" w:rsidRPr="00FA1A79">
        <w:rPr>
          <w:rFonts w:ascii="Bookman Old Style" w:hAnsi="Bookman Old Style"/>
        </w:rPr>
        <w:t xml:space="preserve">pari </w:t>
      </w:r>
      <w:r w:rsidR="004A43E7" w:rsidRPr="00FA1A79">
        <w:rPr>
          <w:rFonts w:ascii="Bookman Old Style" w:hAnsi="Bookman Old Style"/>
        </w:rPr>
        <w:t xml:space="preserve">75% </w:t>
      </w:r>
      <w:r w:rsidR="00494E09" w:rsidRPr="00FA1A79">
        <w:rPr>
          <w:rFonts w:ascii="Bookman Old Style" w:hAnsi="Bookman Old Style"/>
        </w:rPr>
        <w:t xml:space="preserve">delle cessazioni </w:t>
      </w:r>
      <w:r w:rsidR="004A43E7" w:rsidRPr="00FA1A79">
        <w:rPr>
          <w:rFonts w:ascii="Bookman Old Style" w:hAnsi="Bookman Old Style"/>
        </w:rPr>
        <w:t>nel 2025</w:t>
      </w:r>
      <w:r w:rsidR="00494E09" w:rsidRPr="00FA1A79">
        <w:rPr>
          <w:rFonts w:ascii="Bookman Old Style" w:hAnsi="Bookman Old Style"/>
        </w:rPr>
        <w:t xml:space="preserve"> e al 100% nel 2026. Questi nuovi vincoli </w:t>
      </w:r>
      <w:r w:rsidR="00637E56" w:rsidRPr="00FA1A79">
        <w:rPr>
          <w:rFonts w:ascii="Bookman Old Style" w:hAnsi="Bookman Old Style"/>
        </w:rPr>
        <w:t xml:space="preserve">impedirebbero </w:t>
      </w:r>
      <w:r w:rsidR="00494E09" w:rsidRPr="00FA1A79">
        <w:rPr>
          <w:rFonts w:ascii="Bookman Old Style" w:hAnsi="Bookman Old Style"/>
        </w:rPr>
        <w:t xml:space="preserve">sia la </w:t>
      </w:r>
      <w:r w:rsidR="00637E56" w:rsidRPr="00FA1A79">
        <w:rPr>
          <w:rFonts w:ascii="Bookman Old Style" w:hAnsi="Bookman Old Style"/>
        </w:rPr>
        <w:t xml:space="preserve">programmazione </w:t>
      </w:r>
      <w:r w:rsidR="00361F8E" w:rsidRPr="00FA1A79">
        <w:rPr>
          <w:rFonts w:ascii="Bookman Old Style" w:hAnsi="Bookman Old Style"/>
        </w:rPr>
        <w:t>necessaria per colmare</w:t>
      </w:r>
      <w:r w:rsidR="008A51EB" w:rsidRPr="00FA1A79">
        <w:rPr>
          <w:rFonts w:ascii="Bookman Old Style" w:hAnsi="Bookman Old Style"/>
        </w:rPr>
        <w:t xml:space="preserve"> almeno</w:t>
      </w:r>
      <w:r w:rsidR="00361F8E" w:rsidRPr="00FA1A79">
        <w:rPr>
          <w:rFonts w:ascii="Bookman Old Style" w:hAnsi="Bookman Old Style"/>
        </w:rPr>
        <w:t xml:space="preserve"> </w:t>
      </w:r>
      <w:r w:rsidR="007C2B25" w:rsidRPr="00FA1A79">
        <w:rPr>
          <w:rFonts w:ascii="Bookman Old Style" w:hAnsi="Bookman Old Style"/>
        </w:rPr>
        <w:t>p</w:t>
      </w:r>
      <w:r w:rsidR="00361F8E" w:rsidRPr="00FA1A79">
        <w:rPr>
          <w:rFonts w:ascii="Bookman Old Style" w:hAnsi="Bookman Old Style"/>
        </w:rPr>
        <w:t>arzialmente le gr</w:t>
      </w:r>
      <w:r w:rsidR="006743F3" w:rsidRPr="00FA1A79">
        <w:rPr>
          <w:rFonts w:ascii="Bookman Old Style" w:hAnsi="Bookman Old Style"/>
        </w:rPr>
        <w:t>a</w:t>
      </w:r>
      <w:r w:rsidR="00361F8E" w:rsidRPr="00FA1A79">
        <w:rPr>
          <w:rFonts w:ascii="Bookman Old Style" w:hAnsi="Bookman Old Style"/>
        </w:rPr>
        <w:t>vissime carenze di personale</w:t>
      </w:r>
      <w:r w:rsidR="00494E09" w:rsidRPr="00FA1A79">
        <w:rPr>
          <w:rFonts w:ascii="Bookman Old Style" w:hAnsi="Bookman Old Style"/>
        </w:rPr>
        <w:t>, compresi i concorsi già avviati, sia la mobilità del personale che sarebbe soggetta a vincoli variabili a seconda dell’ente di provenienza/destinazione</w:t>
      </w:r>
      <w:r w:rsidR="000F40D5" w:rsidRPr="00FA1A79">
        <w:rPr>
          <w:rFonts w:ascii="Bookman Old Style" w:hAnsi="Bookman Old Style"/>
        </w:rPr>
        <w:t>.</w:t>
      </w:r>
    </w:p>
    <w:p w14:paraId="152E5329" w14:textId="77777777" w:rsidR="00DF1C8E" w:rsidRPr="00FA1A79" w:rsidRDefault="000F40D5" w:rsidP="00494E09">
      <w:pPr>
        <w:jc w:val="both"/>
        <w:rPr>
          <w:rFonts w:ascii="Bookman Old Style" w:hAnsi="Bookman Old Style"/>
        </w:rPr>
      </w:pPr>
      <w:r w:rsidRPr="00FA1A79">
        <w:rPr>
          <w:rFonts w:ascii="Bookman Old Style" w:hAnsi="Bookman Old Style"/>
        </w:rPr>
        <w:t>L’Anci intende chiedere al Parlamento ed al Governo una più attenta riflessione</w:t>
      </w:r>
      <w:r w:rsidR="00494E09" w:rsidRPr="00FA1A79">
        <w:rPr>
          <w:rFonts w:ascii="Bookman Old Style" w:hAnsi="Bookman Old Style"/>
        </w:rPr>
        <w:t xml:space="preserve">, con l’obiettivo di mitigare gli effetti della manovra attualmente prospettata dal DDL Bilancio, attraverso una pluralità di possibili strumenti: </w:t>
      </w:r>
    </w:p>
    <w:p w14:paraId="4FF780E5" w14:textId="77777777" w:rsidR="00DF1C8E" w:rsidRPr="00FA1A79" w:rsidRDefault="00494E09" w:rsidP="00DF1C8E">
      <w:pPr>
        <w:pStyle w:val="Paragrafoelenco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FA1A79">
        <w:rPr>
          <w:rFonts w:ascii="Bookman Old Style" w:hAnsi="Bookman Old Style"/>
        </w:rPr>
        <w:t xml:space="preserve">l’incremento delle assegnazioni a sostegno dell’affidamento di minori e il miglioramento dei criteri di accesso che non dovrebbero escludere parte degli enti, come avviene per l’attuale formulazione dell’art. 100; </w:t>
      </w:r>
    </w:p>
    <w:p w14:paraId="7A2C4427" w14:textId="462BE8F1" w:rsidR="00DF1C8E" w:rsidRPr="00FA1A79" w:rsidRDefault="00DF1C8E" w:rsidP="00DF1C8E">
      <w:pPr>
        <w:pStyle w:val="Paragrafoelenco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FA1A79">
        <w:rPr>
          <w:rFonts w:ascii="Bookman Old Style" w:hAnsi="Bookman Old Style"/>
        </w:rPr>
        <w:t>l’</w:t>
      </w:r>
      <w:r w:rsidR="00494E09" w:rsidRPr="00FA1A79">
        <w:rPr>
          <w:rFonts w:ascii="Bookman Old Style" w:hAnsi="Bookman Old Style"/>
        </w:rPr>
        <w:t>abolizione dell’accontamento obbligatorio sul 2025, con conseguente rideterminazione delle quote successive</w:t>
      </w:r>
      <w:r w:rsidRPr="00FA1A79">
        <w:rPr>
          <w:rFonts w:ascii="Bookman Old Style" w:hAnsi="Bookman Old Style"/>
        </w:rPr>
        <w:t xml:space="preserve">, anche alla luce di una più dettagliata analisi della spesa corrente dei Comuni da condurre nell’ambito del tavolo di confronto </w:t>
      </w:r>
      <w:r w:rsidR="001764CF">
        <w:rPr>
          <w:rFonts w:ascii="Bookman Old Style" w:hAnsi="Bookman Old Style"/>
        </w:rPr>
        <w:t xml:space="preserve">opportunamente </w:t>
      </w:r>
      <w:r w:rsidRPr="00FA1A79">
        <w:rPr>
          <w:rFonts w:ascii="Bookman Old Style" w:hAnsi="Bookman Old Style"/>
        </w:rPr>
        <w:t xml:space="preserve">istituito dal co. </w:t>
      </w:r>
      <w:r w:rsidR="00BB231A">
        <w:rPr>
          <w:rFonts w:ascii="Bookman Old Style" w:hAnsi="Bookman Old Style"/>
        </w:rPr>
        <w:t>12</w:t>
      </w:r>
      <w:r w:rsidRPr="00FA1A79">
        <w:rPr>
          <w:rFonts w:ascii="Bookman Old Style" w:hAnsi="Bookman Old Style"/>
        </w:rPr>
        <w:t xml:space="preserve"> dell’articolo 104</w:t>
      </w:r>
      <w:r w:rsidR="00494E09" w:rsidRPr="00FA1A79">
        <w:rPr>
          <w:rFonts w:ascii="Bookman Old Style" w:hAnsi="Bookman Old Style"/>
        </w:rPr>
        <w:t xml:space="preserve">; </w:t>
      </w:r>
    </w:p>
    <w:p w14:paraId="0CD2794D" w14:textId="77777777" w:rsidR="00DF1C8E" w:rsidRPr="00FA1A79" w:rsidRDefault="00DF1C8E" w:rsidP="00DF1C8E">
      <w:pPr>
        <w:pStyle w:val="Paragrafoelenco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FA1A79">
        <w:rPr>
          <w:rFonts w:ascii="Bookman Old Style" w:hAnsi="Bookman Old Style"/>
        </w:rPr>
        <w:t xml:space="preserve">la </w:t>
      </w:r>
      <w:r w:rsidR="00494E09" w:rsidRPr="00FA1A79">
        <w:rPr>
          <w:rFonts w:ascii="Bookman Old Style" w:hAnsi="Bookman Old Style"/>
        </w:rPr>
        <w:t>possibilità di utilizzare l’avanzo per la parte corrente</w:t>
      </w:r>
      <w:r w:rsidRPr="00FA1A79">
        <w:rPr>
          <w:rFonts w:ascii="Bookman Old Style" w:hAnsi="Bookman Old Style"/>
        </w:rPr>
        <w:t>,</w:t>
      </w:r>
      <w:r w:rsidR="00494E09" w:rsidRPr="00FA1A79">
        <w:rPr>
          <w:rFonts w:ascii="Bookman Old Style" w:hAnsi="Bookman Old Style"/>
        </w:rPr>
        <w:t xml:space="preserve"> con particolare riguardo </w:t>
      </w:r>
      <w:r w:rsidRPr="00FA1A79">
        <w:rPr>
          <w:rFonts w:ascii="Bookman Old Style" w:hAnsi="Bookman Old Style"/>
        </w:rPr>
        <w:t xml:space="preserve">ai maggiori </w:t>
      </w:r>
      <w:r w:rsidR="00494E09" w:rsidRPr="00FA1A79">
        <w:rPr>
          <w:rFonts w:ascii="Bookman Old Style" w:hAnsi="Bookman Old Style"/>
        </w:rPr>
        <w:t xml:space="preserve">oneri derivanti </w:t>
      </w:r>
      <w:r w:rsidRPr="00FA1A79">
        <w:rPr>
          <w:rFonts w:ascii="Bookman Old Style" w:hAnsi="Bookman Old Style"/>
        </w:rPr>
        <w:t xml:space="preserve">dai rinnovi contrattuali (nel prossimo triennio sono previsti oltre 700 mln. di euro a regime); </w:t>
      </w:r>
    </w:p>
    <w:p w14:paraId="0477E473" w14:textId="0A1F13C5" w:rsidR="00DF1C8E" w:rsidRPr="00FA1A79" w:rsidRDefault="00DF1C8E" w:rsidP="00DF1C8E">
      <w:pPr>
        <w:pStyle w:val="Paragrafoelenco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FA1A79">
        <w:rPr>
          <w:rFonts w:ascii="Bookman Old Style" w:hAnsi="Bookman Old Style"/>
        </w:rPr>
        <w:t xml:space="preserve">la </w:t>
      </w:r>
      <w:r w:rsidR="00494E09" w:rsidRPr="00FA1A79">
        <w:rPr>
          <w:rFonts w:ascii="Bookman Old Style" w:hAnsi="Bookman Old Style"/>
        </w:rPr>
        <w:t>flessibilizzazione dell’accantonamento FCDE</w:t>
      </w:r>
      <w:r w:rsidRPr="00FA1A79">
        <w:rPr>
          <w:rFonts w:ascii="Bookman Old Style" w:hAnsi="Bookman Old Style"/>
        </w:rPr>
        <w:t>, rendendo possibile il calcolo sui risultati della riscossione dell’ultimo anno, con effetti di più efficace incentivazione dei programmi comunali di recupero delle entrate:</w:t>
      </w:r>
    </w:p>
    <w:p w14:paraId="1DA55D33" w14:textId="77777777" w:rsidR="00DF1C8E" w:rsidRPr="00FA1A79" w:rsidRDefault="00DF1C8E" w:rsidP="00DF1C8E">
      <w:pPr>
        <w:pStyle w:val="Paragrafoelenco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FA1A79">
        <w:rPr>
          <w:rFonts w:ascii="Bookman Old Style" w:hAnsi="Bookman Old Style"/>
        </w:rPr>
        <w:t>l’</w:t>
      </w:r>
      <w:r w:rsidR="00494E09" w:rsidRPr="00FA1A79">
        <w:rPr>
          <w:rFonts w:ascii="Bookman Old Style" w:hAnsi="Bookman Old Style"/>
        </w:rPr>
        <w:t>abbattimento degli effetti del FAL sugli enti in dissesto</w:t>
      </w:r>
    </w:p>
    <w:p w14:paraId="17A175BA" w14:textId="39567F09" w:rsidR="00494E09" w:rsidRPr="00FA1A79" w:rsidRDefault="00DF1C8E" w:rsidP="00DF1C8E">
      <w:pPr>
        <w:pStyle w:val="Paragrafoelenco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FA1A79">
        <w:rPr>
          <w:rFonts w:ascii="Bookman Old Style" w:hAnsi="Bookman Old Style"/>
        </w:rPr>
        <w:t>maggiore possibilità di azionare la leva fiscale, con riferimento a situazioni oggi bloccate da norme poco chiare, come quella relativa alle tariffe del Canone unico patrimoniale</w:t>
      </w:r>
      <w:r w:rsidR="00494E09" w:rsidRPr="00FA1A79">
        <w:rPr>
          <w:rFonts w:ascii="Bookman Old Style" w:hAnsi="Bookman Old Style"/>
        </w:rPr>
        <w:t>.</w:t>
      </w:r>
    </w:p>
    <w:p w14:paraId="282E0D01" w14:textId="6E4614BE" w:rsidR="00494E09" w:rsidRPr="00FA1A79" w:rsidRDefault="00494E09" w:rsidP="00494E09">
      <w:pPr>
        <w:jc w:val="both"/>
        <w:rPr>
          <w:rFonts w:ascii="Bookman Old Style" w:hAnsi="Bookman Old Style"/>
        </w:rPr>
      </w:pPr>
      <w:r w:rsidRPr="00FA1A79">
        <w:rPr>
          <w:rFonts w:ascii="Bookman Old Style" w:hAnsi="Bookman Old Style"/>
        </w:rPr>
        <w:t xml:space="preserve">Infine, </w:t>
      </w:r>
      <w:r w:rsidR="00DF1C8E" w:rsidRPr="00FA1A79">
        <w:rPr>
          <w:rFonts w:ascii="Bookman Old Style" w:hAnsi="Bookman Old Style"/>
        </w:rPr>
        <w:t xml:space="preserve">dobbiamo segnalare </w:t>
      </w:r>
      <w:r w:rsidRPr="00FA1A79">
        <w:rPr>
          <w:rFonts w:ascii="Bookman Old Style" w:hAnsi="Bookman Old Style"/>
        </w:rPr>
        <w:t xml:space="preserve">le previsioni </w:t>
      </w:r>
      <w:r w:rsidR="00DF1C8E" w:rsidRPr="00FA1A79">
        <w:rPr>
          <w:rFonts w:ascii="Bookman Old Style" w:hAnsi="Bookman Old Style"/>
        </w:rPr>
        <w:t xml:space="preserve">di riduzione dei </w:t>
      </w:r>
      <w:r w:rsidRPr="00FA1A79">
        <w:rPr>
          <w:rFonts w:ascii="Bookman Old Style" w:hAnsi="Bookman Old Style"/>
        </w:rPr>
        <w:t>contributi agli investimenti</w:t>
      </w:r>
      <w:r w:rsidR="00DF1C8E" w:rsidRPr="00FA1A79">
        <w:rPr>
          <w:rFonts w:ascii="Bookman Old Style" w:hAnsi="Bookman Old Style"/>
        </w:rPr>
        <w:t>, in particolare per gli anni successivi alla conclusione del PNRR: 3,2 mld. di euro tra il 2025 e il 2029, oltre 5 mld. tra il 2030 e il 2037. R</w:t>
      </w:r>
      <w:r w:rsidRPr="00FA1A79">
        <w:rPr>
          <w:rFonts w:ascii="Bookman Old Style" w:hAnsi="Bookman Old Style"/>
        </w:rPr>
        <w:t xml:space="preserve">iduzioni così significative </w:t>
      </w:r>
      <w:r w:rsidR="00DF1C8E" w:rsidRPr="00FA1A79">
        <w:rPr>
          <w:rFonts w:ascii="Bookman Old Style" w:hAnsi="Bookman Old Style"/>
        </w:rPr>
        <w:t xml:space="preserve">possono creare sfiducia circa le possibilità di proseguire un </w:t>
      </w:r>
      <w:r w:rsidRPr="00FA1A79">
        <w:rPr>
          <w:rFonts w:ascii="Bookman Old Style" w:hAnsi="Bookman Old Style"/>
        </w:rPr>
        <w:t xml:space="preserve">ciclo </w:t>
      </w:r>
      <w:r w:rsidR="00DF1C8E" w:rsidRPr="00FA1A79">
        <w:rPr>
          <w:rFonts w:ascii="Bookman Old Style" w:hAnsi="Bookman Old Style"/>
        </w:rPr>
        <w:t xml:space="preserve">positivo </w:t>
      </w:r>
      <w:r w:rsidRPr="00FA1A79">
        <w:rPr>
          <w:rFonts w:ascii="Bookman Old Style" w:hAnsi="Bookman Old Style"/>
        </w:rPr>
        <w:t>che si era riattivato già prima del PNRR. Riteniamo pertanto che sia utile un supplemento di riflessione in quanto i dati di spesa ci dicono che siamo ad oltre il raddoppio della spesa per investimento rispetto al 2018 (+100%)</w:t>
      </w:r>
      <w:r w:rsidR="00DF1C8E" w:rsidRPr="00FA1A79">
        <w:rPr>
          <w:rFonts w:ascii="Bookman Old Style" w:hAnsi="Bookman Old Style"/>
        </w:rPr>
        <w:t xml:space="preserve">. Le riduzioni in questione comprendono </w:t>
      </w:r>
      <w:r w:rsidRPr="00FA1A79">
        <w:rPr>
          <w:rFonts w:ascii="Bookman Old Style" w:hAnsi="Bookman Old Style"/>
        </w:rPr>
        <w:t>l’azzeramento dei fondi per i piccoli Comuni che hanno dimostrato un grande dinamismo (+140%), andamento assolutamente positivo che andrebbe preservato nel tempo.</w:t>
      </w:r>
    </w:p>
    <w:p w14:paraId="72AFFBCD" w14:textId="2FAC6503" w:rsidR="00494E09" w:rsidRDefault="00DF1C8E" w:rsidP="00494E09">
      <w:pPr>
        <w:jc w:val="both"/>
        <w:rPr>
          <w:rFonts w:ascii="Bookman Old Style" w:hAnsi="Bookman Old Style"/>
        </w:rPr>
      </w:pPr>
      <w:r w:rsidRPr="00FA1A79">
        <w:rPr>
          <w:rFonts w:ascii="Bookman Old Style" w:hAnsi="Bookman Old Style"/>
        </w:rPr>
        <w:t>Infine, l’A</w:t>
      </w:r>
      <w:r w:rsidR="00B65403">
        <w:rPr>
          <w:rFonts w:ascii="Bookman Old Style" w:hAnsi="Bookman Old Style"/>
        </w:rPr>
        <w:t>n</w:t>
      </w:r>
      <w:r w:rsidRPr="00FA1A79">
        <w:rPr>
          <w:rFonts w:ascii="Bookman Old Style" w:hAnsi="Bookman Old Style"/>
        </w:rPr>
        <w:t xml:space="preserve">ci auspica </w:t>
      </w:r>
      <w:r w:rsidR="00494E09" w:rsidRPr="00FA1A79">
        <w:rPr>
          <w:rFonts w:ascii="Bookman Old Style" w:hAnsi="Bookman Old Style"/>
        </w:rPr>
        <w:t xml:space="preserve">un autorevole impegno </w:t>
      </w:r>
      <w:r w:rsidRPr="00FA1A79">
        <w:rPr>
          <w:rFonts w:ascii="Bookman Old Style" w:hAnsi="Bookman Old Style"/>
        </w:rPr>
        <w:t xml:space="preserve">anche da parte del Parlamento per </w:t>
      </w:r>
      <w:r w:rsidR="00494E09" w:rsidRPr="00FA1A79">
        <w:rPr>
          <w:rFonts w:ascii="Bookman Old Style" w:hAnsi="Bookman Old Style"/>
        </w:rPr>
        <w:t>evitare che le scelte di riduzione sui capitoli dei Ministeri producano ulteriori riduzioni di fondi destinati ai Comuni.</w:t>
      </w:r>
    </w:p>
    <w:p w14:paraId="6DFF7317" w14:textId="75043B74" w:rsidR="00E54381" w:rsidRPr="002164A9" w:rsidRDefault="00924D64" w:rsidP="002164A9">
      <w:pPr>
        <w:pStyle w:val="Titolo2"/>
        <w:numPr>
          <w:ilvl w:val="0"/>
          <w:numId w:val="13"/>
        </w:numPr>
        <w:rPr>
          <w:b/>
          <w:bCs/>
        </w:rPr>
      </w:pPr>
      <w:bookmarkStart w:id="2" w:name="_Toc181627247"/>
      <w:r w:rsidRPr="002164A9">
        <w:rPr>
          <w:b/>
          <w:bCs/>
        </w:rPr>
        <w:lastRenderedPageBreak/>
        <w:t>I contenuti del DDL Bilancio 2025</w:t>
      </w:r>
      <w:bookmarkEnd w:id="2"/>
      <w:r w:rsidR="00AB7961" w:rsidRPr="002164A9">
        <w:rPr>
          <w:b/>
          <w:bCs/>
        </w:rPr>
        <w:t xml:space="preserve"> </w:t>
      </w:r>
    </w:p>
    <w:p w14:paraId="769DD0B0" w14:textId="69F30B15" w:rsidR="00E445DD" w:rsidRPr="00AA6D53" w:rsidRDefault="00E445DD" w:rsidP="00E445DD">
      <w:pPr>
        <w:jc w:val="both"/>
        <w:rPr>
          <w:rFonts w:ascii="Bookman Old Style" w:hAnsi="Bookman Old Style"/>
        </w:rPr>
      </w:pPr>
      <w:r w:rsidRPr="00AA6D53">
        <w:rPr>
          <w:rFonts w:ascii="Bookman Old Style" w:hAnsi="Bookman Old Style"/>
        </w:rPr>
        <w:t xml:space="preserve">Passiamo di seguito in rassegna i principali contenuti </w:t>
      </w:r>
      <w:r w:rsidR="00ED4C93" w:rsidRPr="00AA6D53">
        <w:rPr>
          <w:rFonts w:ascii="Bookman Old Style" w:hAnsi="Bookman Old Style"/>
        </w:rPr>
        <w:t>del DDL Bilancio</w:t>
      </w:r>
      <w:r w:rsidR="00F551A4" w:rsidRPr="00AA6D53">
        <w:rPr>
          <w:rFonts w:ascii="Bookman Old Style" w:hAnsi="Bookman Old Style"/>
        </w:rPr>
        <w:t xml:space="preserve"> che incidono sulla finanza locale.</w:t>
      </w:r>
    </w:p>
    <w:p w14:paraId="16B1E6BC" w14:textId="23678D41" w:rsidR="004F6AE8" w:rsidRPr="0017142C" w:rsidRDefault="0030483E" w:rsidP="00A14DCB">
      <w:pPr>
        <w:pStyle w:val="Titolo3"/>
        <w:numPr>
          <w:ilvl w:val="1"/>
          <w:numId w:val="13"/>
        </w:numPr>
        <w:rPr>
          <w:i/>
          <w:iCs/>
        </w:rPr>
      </w:pPr>
      <w:bookmarkStart w:id="3" w:name="_Toc181627248"/>
      <w:r w:rsidRPr="0017142C">
        <w:rPr>
          <w:i/>
          <w:iCs/>
        </w:rPr>
        <w:t>Accentuazione</w:t>
      </w:r>
      <w:r w:rsidR="00600144" w:rsidRPr="0017142C">
        <w:rPr>
          <w:i/>
          <w:iCs/>
        </w:rPr>
        <w:t xml:space="preserve"> </w:t>
      </w:r>
      <w:r w:rsidRPr="0017142C">
        <w:rPr>
          <w:i/>
          <w:iCs/>
        </w:rPr>
        <w:t xml:space="preserve">dei vincoli alla spesa corrente </w:t>
      </w:r>
      <w:r w:rsidR="002623E3" w:rsidRPr="0017142C">
        <w:rPr>
          <w:i/>
          <w:iCs/>
        </w:rPr>
        <w:t>degli enti locali</w:t>
      </w:r>
      <w:bookmarkEnd w:id="3"/>
    </w:p>
    <w:p w14:paraId="036CBD5A" w14:textId="4D8F6CB7" w:rsidR="00AB7961" w:rsidRPr="00AA6D53" w:rsidRDefault="00902A3F" w:rsidP="00CC1E1C">
      <w:pPr>
        <w:pStyle w:val="Paragrafoelenco"/>
        <w:ind w:left="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I nuovi vincoli agiscono </w:t>
      </w:r>
      <w:r w:rsidR="002623E3" w:rsidRPr="00AA6D53">
        <w:rPr>
          <w:rFonts w:ascii="Bookman Old Style" w:hAnsi="Bookman Old Style"/>
        </w:rPr>
        <w:t xml:space="preserve">attraverso un meccanismo meno invasivo dei </w:t>
      </w:r>
      <w:r w:rsidR="00FF2C32" w:rsidRPr="00AA6D53">
        <w:rPr>
          <w:rFonts w:ascii="Bookman Old Style" w:hAnsi="Bookman Old Style"/>
        </w:rPr>
        <w:t xml:space="preserve">tagli già introdotti lo scorso anno, ma comunque additivo </w:t>
      </w:r>
      <w:r w:rsidR="002A1BAC" w:rsidRPr="00AA6D53">
        <w:rPr>
          <w:rFonts w:ascii="Bookman Old Style" w:hAnsi="Bookman Old Style"/>
        </w:rPr>
        <w:t>e particolarmente incidente sugli enti in disavanzo.</w:t>
      </w:r>
    </w:p>
    <w:p w14:paraId="63019EA8" w14:textId="77777777" w:rsidR="002C0CF8" w:rsidRPr="00AA6D53" w:rsidRDefault="00D337D9" w:rsidP="00DA53C8">
      <w:pPr>
        <w:jc w:val="both"/>
        <w:rPr>
          <w:rFonts w:ascii="Bookman Old Style" w:hAnsi="Bookman Old Style"/>
        </w:rPr>
      </w:pPr>
      <w:r w:rsidRPr="00AA6D53">
        <w:rPr>
          <w:rFonts w:ascii="Bookman Old Style" w:hAnsi="Bookman Old Style"/>
        </w:rPr>
        <w:t xml:space="preserve">La tabella seguente sintetizza le riduzioni </w:t>
      </w:r>
      <w:r w:rsidR="00F86B2D" w:rsidRPr="00AA6D53">
        <w:rPr>
          <w:rFonts w:ascii="Bookman Old Style" w:hAnsi="Bookman Old Style"/>
        </w:rPr>
        <w:t xml:space="preserve">di parte corrente </w:t>
      </w:r>
      <w:r w:rsidRPr="00AA6D53">
        <w:rPr>
          <w:rFonts w:ascii="Bookman Old Style" w:hAnsi="Bookman Old Style"/>
        </w:rPr>
        <w:t>in vigore tra il 2025 e il 2029, per effetto di leggi precedenti (in particolare la Legge di bilancio 2024</w:t>
      </w:r>
      <w:r w:rsidR="00600144" w:rsidRPr="00AA6D53">
        <w:rPr>
          <w:rFonts w:ascii="Bookman Old Style" w:hAnsi="Bookman Old Style"/>
        </w:rPr>
        <w:t xml:space="preserve">, </w:t>
      </w:r>
      <w:r w:rsidR="0099009F" w:rsidRPr="00AA6D53">
        <w:rPr>
          <w:rFonts w:ascii="Bookman Old Style" w:hAnsi="Bookman Old Style"/>
        </w:rPr>
        <w:t>che comprende anche il contributo generalizzato da regolazione fondi Covid</w:t>
      </w:r>
      <w:r w:rsidRPr="00AA6D53">
        <w:rPr>
          <w:rFonts w:ascii="Bookman Old Style" w:hAnsi="Bookman Old Style"/>
        </w:rPr>
        <w:t xml:space="preserve">) e del DDL Bilancio 2025. </w:t>
      </w:r>
    </w:p>
    <w:p w14:paraId="50738746" w14:textId="6D0D95D2" w:rsidR="00D337D9" w:rsidRPr="00AA6D53" w:rsidRDefault="00D337D9" w:rsidP="00DA53C8">
      <w:pPr>
        <w:jc w:val="both"/>
        <w:rPr>
          <w:rFonts w:ascii="Bookman Old Style" w:hAnsi="Bookman Old Style"/>
        </w:rPr>
      </w:pPr>
      <w:r w:rsidRPr="00AA6D53">
        <w:rPr>
          <w:rFonts w:ascii="Bookman Old Style" w:hAnsi="Bookman Old Style"/>
        </w:rPr>
        <w:t xml:space="preserve">Si sottolinea come, per gli anni 2025-2029, il taglio previsto ha la forma di accantonamento di parte corrente non spendibile, che potrà essere utilizzato l’anno successivo per il finanziamento di investimenti, o per </w:t>
      </w:r>
      <w:r w:rsidR="002C0CF8" w:rsidRPr="00AA6D53">
        <w:rPr>
          <w:rFonts w:ascii="Bookman Old Style" w:hAnsi="Bookman Old Style"/>
        </w:rPr>
        <w:t xml:space="preserve">il </w:t>
      </w:r>
      <w:r w:rsidRPr="00AA6D53">
        <w:rPr>
          <w:rFonts w:ascii="Bookman Old Style" w:hAnsi="Bookman Old Style"/>
        </w:rPr>
        <w:t xml:space="preserve">maggior ripiano di disavanzi (in caso di disavanzo). </w:t>
      </w:r>
    </w:p>
    <w:p w14:paraId="7B197812" w14:textId="77777777" w:rsidR="00D337D9" w:rsidRDefault="00D337D9" w:rsidP="00F86B2D">
      <w:pPr>
        <w:pStyle w:val="Paragrafoelenco"/>
        <w:ind w:left="0"/>
      </w:pPr>
      <w:r w:rsidRPr="00C22E80">
        <w:rPr>
          <w:noProof/>
        </w:rPr>
        <w:drawing>
          <wp:inline distT="0" distB="0" distL="0" distR="0" wp14:anchorId="3ED5044F" wp14:editId="0D1319D4">
            <wp:extent cx="6120130" cy="2479675"/>
            <wp:effectExtent l="0" t="0" r="0" b="0"/>
            <wp:docPr id="123106527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03D1B" w14:textId="12E2E1F5" w:rsidR="00D337D9" w:rsidRPr="00A14DCB" w:rsidRDefault="00D337D9" w:rsidP="002C0CF8">
      <w:pPr>
        <w:jc w:val="both"/>
        <w:rPr>
          <w:rFonts w:ascii="Bookman Old Style" w:hAnsi="Bookman Old Style"/>
        </w:rPr>
      </w:pPr>
      <w:r w:rsidRPr="00A14DCB">
        <w:rPr>
          <w:rFonts w:ascii="Bookman Old Style" w:hAnsi="Bookman Old Style"/>
          <w:b/>
          <w:bCs/>
        </w:rPr>
        <w:t>Le Città metropolitane</w:t>
      </w:r>
      <w:r w:rsidRPr="00A14DCB">
        <w:rPr>
          <w:rFonts w:ascii="Bookman Old Style" w:hAnsi="Bookman Old Style"/>
        </w:rPr>
        <w:t xml:space="preserve"> concorrono per circa il 35% al taglio complessivo </w:t>
      </w:r>
      <w:r w:rsidR="001658FB" w:rsidRPr="00A14DCB">
        <w:rPr>
          <w:rFonts w:ascii="Bookman Old Style" w:hAnsi="Bookman Old Style"/>
        </w:rPr>
        <w:t>gravante su</w:t>
      </w:r>
      <w:r w:rsidRPr="00A14DCB">
        <w:rPr>
          <w:rFonts w:ascii="Bookman Old Style" w:hAnsi="Bookman Old Style"/>
        </w:rPr>
        <w:t xml:space="preserve"> Province e CM, </w:t>
      </w:r>
      <w:r w:rsidR="00CB3DFC" w:rsidRPr="00A14DCB">
        <w:rPr>
          <w:rFonts w:ascii="Bookman Old Style" w:hAnsi="Bookman Old Style"/>
        </w:rPr>
        <w:t>pari a</w:t>
      </w:r>
      <w:r w:rsidRPr="00A14DCB">
        <w:rPr>
          <w:rFonts w:ascii="Bookman Old Style" w:hAnsi="Bookman Old Style"/>
        </w:rPr>
        <w:t xml:space="preserve"> 100 mln. già in vigore per il 2025 e </w:t>
      </w:r>
      <w:r w:rsidR="00CB3DFC" w:rsidRPr="00A14DCB">
        <w:rPr>
          <w:rFonts w:ascii="Bookman Old Style" w:hAnsi="Bookman Old Style"/>
        </w:rPr>
        <w:t xml:space="preserve">a </w:t>
      </w:r>
      <w:r w:rsidRPr="00A14DCB">
        <w:rPr>
          <w:rFonts w:ascii="Bookman Old Style" w:hAnsi="Bookman Old Style"/>
        </w:rPr>
        <w:t xml:space="preserve">50 mln. annui per il 2026-28. Il </w:t>
      </w:r>
      <w:proofErr w:type="spellStart"/>
      <w:r w:rsidRPr="00A14DCB">
        <w:rPr>
          <w:rFonts w:ascii="Bookman Old Style" w:hAnsi="Bookman Old Style"/>
        </w:rPr>
        <w:t>DDl</w:t>
      </w:r>
      <w:proofErr w:type="spellEnd"/>
      <w:r w:rsidRPr="00A14DCB">
        <w:rPr>
          <w:rFonts w:ascii="Bookman Old Style" w:hAnsi="Bookman Old Style"/>
        </w:rPr>
        <w:t xml:space="preserve"> Bilancio aggiunge obblighi di accantonamento per 10 mln. nel 2025, di 30 mln. per il 2026-28 e di 50 mln. nel 2029. </w:t>
      </w:r>
      <w:r w:rsidRPr="00A14DCB">
        <w:rPr>
          <w:rFonts w:ascii="Bookman Old Style" w:hAnsi="Bookman Old Style"/>
          <w:b/>
          <w:bCs/>
        </w:rPr>
        <w:t xml:space="preserve">Il totale del contributo </w:t>
      </w:r>
      <w:r w:rsidR="0058745E" w:rsidRPr="00A14DCB">
        <w:rPr>
          <w:rFonts w:ascii="Bookman Old Style" w:hAnsi="Bookman Old Style"/>
          <w:b/>
          <w:bCs/>
        </w:rPr>
        <w:t>netto</w:t>
      </w:r>
      <w:r w:rsidR="00257755" w:rsidRPr="00A14DCB">
        <w:rPr>
          <w:rFonts w:ascii="Bookman Old Style" w:hAnsi="Bookman Old Style"/>
          <w:b/>
          <w:bCs/>
        </w:rPr>
        <w:t xml:space="preserve"> </w:t>
      </w:r>
      <w:r w:rsidRPr="00A14DCB">
        <w:rPr>
          <w:rFonts w:ascii="Bookman Old Style" w:hAnsi="Bookman Old Style"/>
          <w:b/>
          <w:bCs/>
        </w:rPr>
        <w:t xml:space="preserve">alla finanza pubblica nel 2025-29 ammonta a </w:t>
      </w:r>
      <w:r w:rsidR="00CE106B" w:rsidRPr="00A14DCB">
        <w:rPr>
          <w:rFonts w:ascii="Bookman Old Style" w:hAnsi="Bookman Old Style"/>
          <w:b/>
          <w:bCs/>
        </w:rPr>
        <w:t>circa 360</w:t>
      </w:r>
      <w:r w:rsidRPr="00A14DCB">
        <w:rPr>
          <w:rFonts w:ascii="Bookman Old Style" w:hAnsi="Bookman Old Style"/>
          <w:b/>
          <w:bCs/>
        </w:rPr>
        <w:t xml:space="preserve"> mln. (di cui circa 1</w:t>
      </w:r>
      <w:r w:rsidR="00CE106B" w:rsidRPr="00A14DCB">
        <w:rPr>
          <w:rFonts w:ascii="Bookman Old Style" w:hAnsi="Bookman Old Style"/>
          <w:b/>
          <w:bCs/>
        </w:rPr>
        <w:t>3</w:t>
      </w:r>
      <w:r w:rsidRPr="00A14DCB">
        <w:rPr>
          <w:rFonts w:ascii="Bookman Old Style" w:hAnsi="Bookman Old Style"/>
          <w:b/>
          <w:bCs/>
        </w:rPr>
        <w:t>0 mln. a carico delle CM)</w:t>
      </w:r>
      <w:r w:rsidRPr="00A14DCB">
        <w:rPr>
          <w:rFonts w:ascii="Bookman Old Style" w:hAnsi="Bookman Old Style"/>
        </w:rPr>
        <w:t>.</w:t>
      </w:r>
    </w:p>
    <w:p w14:paraId="49807AE6" w14:textId="38C077A0" w:rsidR="00241590" w:rsidRPr="00EA382B" w:rsidRDefault="00A14DCB" w:rsidP="002C0CF8">
      <w:pPr>
        <w:jc w:val="both"/>
        <w:rPr>
          <w:rFonts w:ascii="Bookman Old Style" w:hAnsi="Bookman Old Style"/>
        </w:rPr>
      </w:pPr>
      <w:r w:rsidRPr="00EA382B">
        <w:rPr>
          <w:rFonts w:ascii="Bookman Old Style" w:hAnsi="Bookman Old Style"/>
        </w:rPr>
        <w:t xml:space="preserve">Va </w:t>
      </w:r>
      <w:r w:rsidR="00EA382B">
        <w:rPr>
          <w:rFonts w:ascii="Bookman Old Style" w:hAnsi="Bookman Old Style"/>
        </w:rPr>
        <w:t xml:space="preserve">positivamente </w:t>
      </w:r>
      <w:r w:rsidRPr="00EA382B">
        <w:rPr>
          <w:rFonts w:ascii="Bookman Old Style" w:hAnsi="Bookman Old Style"/>
        </w:rPr>
        <w:t xml:space="preserve">osservato che </w:t>
      </w:r>
      <w:r w:rsidRPr="00186D41">
        <w:rPr>
          <w:rFonts w:ascii="Bookman Old Style" w:hAnsi="Bookman Old Style"/>
          <w:b/>
          <w:bCs/>
        </w:rPr>
        <w:t>il rafforzamento del saldo di competenza</w:t>
      </w:r>
      <w:r w:rsidRPr="00EA382B">
        <w:rPr>
          <w:rFonts w:ascii="Bookman Old Style" w:hAnsi="Bookman Old Style"/>
        </w:rPr>
        <w:t xml:space="preserve"> introdotto dal comma </w:t>
      </w:r>
      <w:r w:rsidR="00922D49" w:rsidRPr="00EA382B">
        <w:rPr>
          <w:rFonts w:ascii="Bookman Old Style" w:hAnsi="Bookman Old Style"/>
        </w:rPr>
        <w:t xml:space="preserve">2 </w:t>
      </w:r>
      <w:r w:rsidRPr="00EA382B">
        <w:rPr>
          <w:rFonts w:ascii="Bookman Old Style" w:hAnsi="Bookman Old Style"/>
        </w:rPr>
        <w:t xml:space="preserve">dell’art. 104 del DDL </w:t>
      </w:r>
      <w:r w:rsidR="003860A7" w:rsidRPr="00186D41">
        <w:rPr>
          <w:rFonts w:ascii="Bookman Old Style" w:hAnsi="Bookman Old Style"/>
          <w:b/>
          <w:bCs/>
        </w:rPr>
        <w:t>è opportunamente indicato</w:t>
      </w:r>
      <w:r w:rsidR="003860A7" w:rsidRPr="00EA382B">
        <w:rPr>
          <w:rFonts w:ascii="Bookman Old Style" w:hAnsi="Bookman Old Style"/>
        </w:rPr>
        <w:t xml:space="preserve"> </w:t>
      </w:r>
      <w:r w:rsidR="00EA382B" w:rsidRPr="00EA382B">
        <w:rPr>
          <w:rFonts w:ascii="Bookman Old Style" w:hAnsi="Bookman Old Style"/>
        </w:rPr>
        <w:t>(</w:t>
      </w:r>
      <w:r w:rsidR="00922D49" w:rsidRPr="00EA382B">
        <w:rPr>
          <w:rFonts w:ascii="Bookman Old Style" w:hAnsi="Bookman Old Style"/>
        </w:rPr>
        <w:t>comma 9</w:t>
      </w:r>
      <w:r w:rsidR="00EA382B" w:rsidRPr="00EA382B">
        <w:rPr>
          <w:rFonts w:ascii="Bookman Old Style" w:hAnsi="Bookman Old Style"/>
        </w:rPr>
        <w:t>)</w:t>
      </w:r>
      <w:r w:rsidR="00922D49" w:rsidRPr="00EA382B">
        <w:rPr>
          <w:rFonts w:ascii="Bookman Old Style" w:hAnsi="Bookman Old Style"/>
        </w:rPr>
        <w:t xml:space="preserve"> </w:t>
      </w:r>
      <w:r w:rsidR="003860A7" w:rsidRPr="00186D41">
        <w:rPr>
          <w:rFonts w:ascii="Bookman Old Style" w:hAnsi="Bookman Old Style"/>
          <w:b/>
          <w:bCs/>
        </w:rPr>
        <w:t xml:space="preserve">come </w:t>
      </w:r>
      <w:r w:rsidR="003860A7" w:rsidRPr="00186D41">
        <w:rPr>
          <w:rFonts w:ascii="Bookman Old Style" w:hAnsi="Bookman Old Style"/>
          <w:b/>
          <w:bCs/>
          <w:i/>
          <w:iCs/>
        </w:rPr>
        <w:t>obiettivo</w:t>
      </w:r>
      <w:r w:rsidR="003860A7" w:rsidRPr="00186D41">
        <w:rPr>
          <w:rFonts w:ascii="Bookman Old Style" w:hAnsi="Bookman Old Style"/>
          <w:b/>
          <w:bCs/>
        </w:rPr>
        <w:t xml:space="preserve"> </w:t>
      </w:r>
      <w:r w:rsidR="003860A7" w:rsidRPr="00186D41">
        <w:rPr>
          <w:rFonts w:ascii="Bookman Old Style" w:hAnsi="Bookman Old Style"/>
          <w:b/>
          <w:bCs/>
          <w:i/>
          <w:iCs/>
        </w:rPr>
        <w:t>di comparto</w:t>
      </w:r>
      <w:r w:rsidR="003860A7" w:rsidRPr="00EA382B">
        <w:rPr>
          <w:rFonts w:ascii="Bookman Old Style" w:hAnsi="Bookman Old Style"/>
          <w:i/>
          <w:iCs/>
        </w:rPr>
        <w:t xml:space="preserve"> </w:t>
      </w:r>
      <w:r w:rsidR="003860A7" w:rsidRPr="00EA382B">
        <w:rPr>
          <w:rFonts w:ascii="Bookman Old Style" w:hAnsi="Bookman Old Style"/>
        </w:rPr>
        <w:t xml:space="preserve">e </w:t>
      </w:r>
      <w:r w:rsidR="00A52FA7" w:rsidRPr="00EA382B">
        <w:rPr>
          <w:rFonts w:ascii="Bookman Old Style" w:hAnsi="Bookman Old Style"/>
        </w:rPr>
        <w:t>produce sanzioni nei confronti degli enti inadempienti soltanto nel caso di sforamento complessivo del pareggio “rafforzato</w:t>
      </w:r>
      <w:r w:rsidR="00922D49" w:rsidRPr="00EA382B">
        <w:rPr>
          <w:rFonts w:ascii="Bookman Old Style" w:hAnsi="Bookman Old Style"/>
        </w:rPr>
        <w:t>”</w:t>
      </w:r>
      <w:r w:rsidR="00A52FA7" w:rsidRPr="00EA382B">
        <w:rPr>
          <w:rFonts w:ascii="Bookman Old Style" w:hAnsi="Bookman Old Style"/>
        </w:rPr>
        <w:t>.</w:t>
      </w:r>
    </w:p>
    <w:p w14:paraId="0957C1D5" w14:textId="7B8C74AE" w:rsidR="00710665" w:rsidRPr="0017142C" w:rsidRDefault="00CC1E1C" w:rsidP="0017142C">
      <w:pPr>
        <w:pStyle w:val="Titolo3"/>
        <w:rPr>
          <w:i/>
          <w:iCs/>
        </w:rPr>
      </w:pPr>
      <w:bookmarkStart w:id="4" w:name="_Toc181627249"/>
      <w:r w:rsidRPr="0017142C">
        <w:rPr>
          <w:i/>
          <w:iCs/>
        </w:rPr>
        <w:lastRenderedPageBreak/>
        <w:t>2.2</w:t>
      </w:r>
      <w:r w:rsidR="00A87D5A" w:rsidRPr="0017142C">
        <w:rPr>
          <w:i/>
          <w:iCs/>
        </w:rPr>
        <w:tab/>
      </w:r>
      <w:r w:rsidRPr="0017142C">
        <w:rPr>
          <w:i/>
          <w:iCs/>
        </w:rPr>
        <w:t xml:space="preserve"> </w:t>
      </w:r>
      <w:r w:rsidR="00D40C76" w:rsidRPr="0017142C">
        <w:rPr>
          <w:i/>
          <w:iCs/>
        </w:rPr>
        <w:t>Le riduzioni dei contributi statali agli investimenti locali</w:t>
      </w:r>
      <w:bookmarkEnd w:id="4"/>
    </w:p>
    <w:p w14:paraId="645FEEFB" w14:textId="7B9C084C" w:rsidR="00282FE8" w:rsidRPr="002F706E" w:rsidRDefault="00BD24FB" w:rsidP="00282FE8">
      <w:pPr>
        <w:jc w:val="both"/>
        <w:rPr>
          <w:rFonts w:ascii="Bookman Old Style" w:hAnsi="Bookman Old Style"/>
        </w:rPr>
      </w:pPr>
      <w:r w:rsidRPr="002F706E">
        <w:rPr>
          <w:rFonts w:ascii="Bookman Old Style" w:hAnsi="Bookman Old Style"/>
        </w:rPr>
        <w:t xml:space="preserve">Il </w:t>
      </w:r>
      <w:proofErr w:type="spellStart"/>
      <w:r w:rsidRPr="002F706E">
        <w:rPr>
          <w:rFonts w:ascii="Bookman Old Style" w:hAnsi="Bookman Old Style"/>
        </w:rPr>
        <w:t>DDl</w:t>
      </w:r>
      <w:proofErr w:type="spellEnd"/>
      <w:r w:rsidRPr="002F706E">
        <w:rPr>
          <w:rFonts w:ascii="Bookman Old Style" w:hAnsi="Bookman Old Style"/>
        </w:rPr>
        <w:t xml:space="preserve"> Bilancio prevede </w:t>
      </w:r>
      <w:r w:rsidR="00DD04DA" w:rsidRPr="002F706E">
        <w:rPr>
          <w:rFonts w:ascii="Bookman Old Style" w:hAnsi="Bookman Old Style"/>
        </w:rPr>
        <w:t xml:space="preserve">inoltre </w:t>
      </w:r>
      <w:r w:rsidRPr="002F706E">
        <w:rPr>
          <w:rFonts w:ascii="Bookman Old Style" w:hAnsi="Bookman Old Style"/>
        </w:rPr>
        <w:t>numerose riduzioni di fondi destinati al finanziamento di investimenti dei Comuni (art. 104).</w:t>
      </w:r>
      <w:r w:rsidR="00CC1E1C" w:rsidRPr="002F706E">
        <w:rPr>
          <w:rFonts w:ascii="Bookman Old Style" w:hAnsi="Bookman Old Style"/>
        </w:rPr>
        <w:t xml:space="preserve"> </w:t>
      </w:r>
      <w:r w:rsidR="001B092E" w:rsidRPr="002F706E">
        <w:rPr>
          <w:rFonts w:ascii="Bookman Old Style" w:hAnsi="Bookman Old Style"/>
        </w:rPr>
        <w:t xml:space="preserve">Le </w:t>
      </w:r>
      <w:r w:rsidR="00517441" w:rsidRPr="002F706E">
        <w:rPr>
          <w:rFonts w:ascii="Bookman Old Style" w:hAnsi="Bookman Old Style"/>
        </w:rPr>
        <w:t>riduzioni</w:t>
      </w:r>
      <w:r w:rsidR="001B092E" w:rsidRPr="002F706E">
        <w:rPr>
          <w:rFonts w:ascii="Bookman Old Style" w:hAnsi="Bookman Old Style"/>
        </w:rPr>
        <w:t xml:space="preserve"> sono più accentuate negli anni successivi </w:t>
      </w:r>
      <w:r w:rsidR="00517441" w:rsidRPr="002F706E">
        <w:rPr>
          <w:rFonts w:ascii="Bookman Old Style" w:hAnsi="Bookman Old Style"/>
        </w:rPr>
        <w:t>a quelli di svolgimento del PNRR, dal 2028 in pi</w:t>
      </w:r>
      <w:r w:rsidRPr="002F706E">
        <w:rPr>
          <w:rFonts w:ascii="Bookman Old Style" w:hAnsi="Bookman Old Style"/>
        </w:rPr>
        <w:t xml:space="preserve"> La tabella seguente riporta le linee di finanziamento oggetto delle riduzioni per ciascuno degli anni 2025-29 e per il totale 2030-37.</w:t>
      </w:r>
    </w:p>
    <w:p w14:paraId="2BA86C92" w14:textId="7759DF7F" w:rsidR="006C13A3" w:rsidRDefault="006C13A3" w:rsidP="006C13A3">
      <w:pPr>
        <w:ind w:left="-567"/>
        <w:jc w:val="both"/>
      </w:pPr>
      <w:r w:rsidRPr="009B357B">
        <w:rPr>
          <w:noProof/>
        </w:rPr>
        <w:drawing>
          <wp:inline distT="0" distB="0" distL="0" distR="0" wp14:anchorId="4DE00FC2" wp14:editId="1DC6D326">
            <wp:extent cx="6896100" cy="2666115"/>
            <wp:effectExtent l="0" t="0" r="0" b="1270"/>
            <wp:docPr id="25408816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913" cy="267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FDF77" w14:textId="77777777" w:rsidR="00A9741B" w:rsidRDefault="00A9741B" w:rsidP="00CC1E1C">
      <w:pPr>
        <w:jc w:val="both"/>
      </w:pPr>
    </w:p>
    <w:p w14:paraId="0558C079" w14:textId="732984FD" w:rsidR="00AD1DDE" w:rsidRPr="00241590" w:rsidRDefault="00CC1E1C" w:rsidP="00CC1E1C">
      <w:pPr>
        <w:jc w:val="both"/>
        <w:rPr>
          <w:rFonts w:ascii="Bookman Old Style" w:hAnsi="Bookman Old Style"/>
        </w:rPr>
      </w:pPr>
      <w:r w:rsidRPr="00241590">
        <w:rPr>
          <w:rFonts w:ascii="Bookman Old Style" w:hAnsi="Bookman Old Style"/>
        </w:rPr>
        <w:t>Si deve, in particolare segnalare l’azzeramento di interi programmi di intervento, specie quelli relativi agli enti di minore dimensione (art. 30, co 14-</w:t>
      </w:r>
      <w:r w:rsidRPr="00241590">
        <w:rPr>
          <w:rFonts w:ascii="Bookman Old Style" w:hAnsi="Bookman Old Style"/>
          <w:i/>
          <w:iCs/>
        </w:rPr>
        <w:t>bis</w:t>
      </w:r>
      <w:r w:rsidRPr="00241590">
        <w:rPr>
          <w:rFonts w:ascii="Bookman Old Style" w:hAnsi="Bookman Old Style"/>
        </w:rPr>
        <w:t>, del dl 34/2019, co 44, l.160/2019), compresa la quota obbligatoriamente orientata ai Comuni del contributo alle Regioni di cui al co 134, l. 145/2018.</w:t>
      </w:r>
    </w:p>
    <w:p w14:paraId="72558650" w14:textId="7B08D2E9" w:rsidR="00AE2EB4" w:rsidRPr="000279C5" w:rsidRDefault="00A87D5A" w:rsidP="000279C5">
      <w:pPr>
        <w:pStyle w:val="Titolo3"/>
        <w:rPr>
          <w:i/>
          <w:iCs/>
        </w:rPr>
      </w:pPr>
      <w:bookmarkStart w:id="5" w:name="_Toc181627250"/>
      <w:r w:rsidRPr="000279C5">
        <w:rPr>
          <w:i/>
          <w:iCs/>
        </w:rPr>
        <w:t xml:space="preserve">2.3 </w:t>
      </w:r>
      <w:r w:rsidR="00020CA0" w:rsidRPr="000279C5">
        <w:rPr>
          <w:i/>
          <w:iCs/>
        </w:rPr>
        <w:tab/>
      </w:r>
      <w:r w:rsidR="00AE2EB4" w:rsidRPr="000279C5">
        <w:rPr>
          <w:i/>
          <w:iCs/>
        </w:rPr>
        <w:t>Contributi di parte corrente</w:t>
      </w:r>
      <w:bookmarkEnd w:id="5"/>
    </w:p>
    <w:p w14:paraId="43E55FCD" w14:textId="4FD86CDD" w:rsidR="00905284" w:rsidRPr="00241590" w:rsidRDefault="00AE2EB4" w:rsidP="00212ACC">
      <w:pPr>
        <w:jc w:val="both"/>
        <w:rPr>
          <w:rFonts w:ascii="Bookman Old Style" w:hAnsi="Bookman Old Style"/>
        </w:rPr>
      </w:pPr>
      <w:r w:rsidRPr="00241590">
        <w:rPr>
          <w:rFonts w:ascii="Bookman Old Style" w:hAnsi="Bookman Old Style"/>
        </w:rPr>
        <w:t xml:space="preserve">Il DDL Bilancio </w:t>
      </w:r>
      <w:r w:rsidR="008C2597" w:rsidRPr="00241590">
        <w:rPr>
          <w:rFonts w:ascii="Bookman Old Style" w:hAnsi="Bookman Old Style"/>
        </w:rPr>
        <w:t>comprende</w:t>
      </w:r>
      <w:r w:rsidRPr="00241590">
        <w:rPr>
          <w:rFonts w:ascii="Bookman Old Style" w:hAnsi="Bookman Old Style"/>
        </w:rPr>
        <w:t xml:space="preserve"> </w:t>
      </w:r>
      <w:r w:rsidR="00905284" w:rsidRPr="00241590">
        <w:rPr>
          <w:rFonts w:ascii="Bookman Old Style" w:hAnsi="Bookman Old Style"/>
        </w:rPr>
        <w:t xml:space="preserve">alcuni interventi di sostegno alle spese dei Comuni. </w:t>
      </w:r>
    </w:p>
    <w:p w14:paraId="560EA45F" w14:textId="5337F396" w:rsidR="00AE2EB4" w:rsidRPr="00241590" w:rsidRDefault="00905284" w:rsidP="00212ACC">
      <w:pPr>
        <w:jc w:val="both"/>
        <w:rPr>
          <w:rFonts w:ascii="Bookman Old Style" w:hAnsi="Bookman Old Style"/>
        </w:rPr>
      </w:pPr>
      <w:r w:rsidRPr="00241590">
        <w:rPr>
          <w:rFonts w:ascii="Bookman Old Style" w:hAnsi="Bookman Old Style"/>
        </w:rPr>
        <w:t>In</w:t>
      </w:r>
      <w:r w:rsidR="00BC2AC2" w:rsidRPr="00241590">
        <w:rPr>
          <w:rFonts w:ascii="Bookman Old Style" w:hAnsi="Bookman Old Style"/>
        </w:rPr>
        <w:t xml:space="preserve"> primo luogo</w:t>
      </w:r>
      <w:r w:rsidRPr="00241590">
        <w:rPr>
          <w:rFonts w:ascii="Bookman Old Style" w:hAnsi="Bookman Old Style"/>
        </w:rPr>
        <w:t xml:space="preserve">, si prevede </w:t>
      </w:r>
      <w:r w:rsidR="00AE2EB4" w:rsidRPr="00241590">
        <w:rPr>
          <w:rFonts w:ascii="Bookman Old Style" w:hAnsi="Bookman Old Style"/>
        </w:rPr>
        <w:t xml:space="preserve">un contributo di parte corrente a sostegno </w:t>
      </w:r>
      <w:r w:rsidR="008C2597" w:rsidRPr="00241590">
        <w:rPr>
          <w:rFonts w:ascii="Bookman Old Style" w:hAnsi="Bookman Old Style"/>
        </w:rPr>
        <w:t>per gli oneri comunali dovuti al</w:t>
      </w:r>
      <w:r w:rsidR="00AE2EB4" w:rsidRPr="00241590">
        <w:rPr>
          <w:rFonts w:ascii="Bookman Old Style" w:hAnsi="Bookman Old Style"/>
        </w:rPr>
        <w:t>l’affidamento per sentenza di minori e famiglie in condizioni di fragilità.</w:t>
      </w:r>
    </w:p>
    <w:p w14:paraId="0AC4AD5A" w14:textId="77777777" w:rsidR="00AE2EB4" w:rsidRDefault="00AE2EB4" w:rsidP="00AE2EB4">
      <w:pPr>
        <w:jc w:val="center"/>
      </w:pPr>
      <w:r w:rsidRPr="00C22E80">
        <w:rPr>
          <w:noProof/>
        </w:rPr>
        <w:drawing>
          <wp:inline distT="0" distB="0" distL="0" distR="0" wp14:anchorId="35AE3695" wp14:editId="7770D15C">
            <wp:extent cx="4400550" cy="1450024"/>
            <wp:effectExtent l="0" t="0" r="0" b="0"/>
            <wp:docPr id="132488046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99" cy="145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0B32" w14:textId="636E9514" w:rsidR="00AE2EB4" w:rsidRPr="00241590" w:rsidRDefault="00AE2EB4" w:rsidP="00AE2EB4">
      <w:pPr>
        <w:jc w:val="both"/>
        <w:rPr>
          <w:rFonts w:ascii="Bookman Old Style" w:hAnsi="Bookman Old Style"/>
        </w:rPr>
      </w:pPr>
      <w:r w:rsidRPr="00241590">
        <w:rPr>
          <w:rFonts w:ascii="Bookman Old Style" w:hAnsi="Bookman Old Style"/>
        </w:rPr>
        <w:t xml:space="preserve">È inoltre previsto (art. 100) </w:t>
      </w:r>
      <w:r w:rsidRPr="00241590">
        <w:rPr>
          <w:rFonts w:ascii="Bookman Old Style" w:hAnsi="Bookman Old Style"/>
          <w:b/>
          <w:bCs/>
        </w:rPr>
        <w:t>un incremento della dotazione del Fondo di solidarietà comunale per 56 mln.</w:t>
      </w:r>
      <w:r w:rsidRPr="00241590">
        <w:rPr>
          <w:rFonts w:ascii="Bookman Old Style" w:hAnsi="Bookman Old Style"/>
        </w:rPr>
        <w:t xml:space="preserve"> incrementali annui dal 2025 al 2030, che permetterà di contenere il “taglio perequativo” subito da quasi 4mila Comuni delle </w:t>
      </w:r>
      <w:r w:rsidRPr="00241590">
        <w:rPr>
          <w:rFonts w:ascii="Bookman Old Style" w:hAnsi="Bookman Old Style"/>
        </w:rPr>
        <w:lastRenderedPageBreak/>
        <w:t xml:space="preserve">Regioni a statuto ordinario, a fronte degli incrementi di risorse previsti a favore dei Comuni meno dotati secondo gli attuali criteri perequativi. Il miglioramento è stimabile tra il 40 e il 50% della riduzione che sarebbe applicata in caso di regolazione esclusivamente </w:t>
      </w:r>
      <w:r w:rsidRPr="00241590">
        <w:rPr>
          <w:rFonts w:ascii="Bookman Old Style" w:hAnsi="Bookman Old Style"/>
          <w:i/>
          <w:iCs/>
        </w:rPr>
        <w:t>orizzontale</w:t>
      </w:r>
      <w:r w:rsidRPr="00241590">
        <w:rPr>
          <w:rFonts w:ascii="Bookman Old Style" w:hAnsi="Bookman Old Style"/>
        </w:rPr>
        <w:t xml:space="preserve"> del FSC.</w:t>
      </w:r>
    </w:p>
    <w:p w14:paraId="12294B2B" w14:textId="4CF82BDE" w:rsidR="00AE2EB4" w:rsidRPr="00241590" w:rsidRDefault="00AE2EB4" w:rsidP="00AE2EB4">
      <w:pPr>
        <w:jc w:val="both"/>
        <w:rPr>
          <w:rFonts w:ascii="Bookman Old Style" w:hAnsi="Bookman Old Style"/>
        </w:rPr>
      </w:pPr>
      <w:r w:rsidRPr="00241590">
        <w:rPr>
          <w:rFonts w:ascii="Bookman Old Style" w:hAnsi="Bookman Old Style"/>
        </w:rPr>
        <w:t>L</w:t>
      </w:r>
      <w:r w:rsidRPr="00241590">
        <w:rPr>
          <w:rFonts w:ascii="Bookman Old Style" w:hAnsi="Bookman Old Style"/>
          <w:b/>
          <w:bCs/>
        </w:rPr>
        <w:t>’incremento di 120 mln. previsto per il Fondo TPL</w:t>
      </w:r>
      <w:r w:rsidRPr="00241590">
        <w:rPr>
          <w:rFonts w:ascii="Bookman Old Style" w:hAnsi="Bookman Old Style"/>
        </w:rPr>
        <w:t xml:space="preserve"> (art. 97) beneficerà in quota parte gli enti locali che esercitano le funzioni di trasporto pubblico locale</w:t>
      </w:r>
      <w:r w:rsidR="000279C5" w:rsidRPr="00241590">
        <w:rPr>
          <w:rFonts w:ascii="Bookman Old Style" w:hAnsi="Bookman Old Style"/>
        </w:rPr>
        <w:t>, in misura comunque di molto inferiore agli effetti dell’inflazione</w:t>
      </w:r>
      <w:r w:rsidRPr="00241590">
        <w:rPr>
          <w:rFonts w:ascii="Bookman Old Style" w:hAnsi="Bookman Old Style"/>
        </w:rPr>
        <w:t xml:space="preserve">. </w:t>
      </w:r>
    </w:p>
    <w:p w14:paraId="55356778" w14:textId="0211B83E" w:rsidR="00AE2EB4" w:rsidRPr="00241590" w:rsidRDefault="00AE2EB4" w:rsidP="00AE2EB4">
      <w:pPr>
        <w:jc w:val="both"/>
        <w:rPr>
          <w:rFonts w:ascii="Bookman Old Style" w:hAnsi="Bookman Old Style"/>
        </w:rPr>
      </w:pPr>
      <w:r w:rsidRPr="00241590">
        <w:rPr>
          <w:rFonts w:ascii="Bookman Old Style" w:hAnsi="Bookman Old Style"/>
          <w:b/>
          <w:bCs/>
        </w:rPr>
        <w:t>Le Città metropolitane e le Province</w:t>
      </w:r>
      <w:r w:rsidRPr="00241590">
        <w:rPr>
          <w:rFonts w:ascii="Bookman Old Style" w:hAnsi="Bookman Old Style"/>
        </w:rPr>
        <w:t xml:space="preserve"> sono poi beneficiate da </w:t>
      </w:r>
      <w:r w:rsidRPr="00241590">
        <w:rPr>
          <w:rFonts w:ascii="Bookman Old Style" w:hAnsi="Bookman Old Style"/>
          <w:b/>
          <w:bCs/>
        </w:rPr>
        <w:t>un’anticipazione di erogazione di risorse già stanziate</w:t>
      </w:r>
      <w:r w:rsidRPr="00241590">
        <w:rPr>
          <w:rFonts w:ascii="Bookman Old Style" w:hAnsi="Bookman Old Style"/>
        </w:rPr>
        <w:t xml:space="preserve"> dalla legge di bilancio per il 2022, </w:t>
      </w:r>
      <w:r w:rsidRPr="00241590">
        <w:rPr>
          <w:rFonts w:ascii="Bookman Old Style" w:hAnsi="Bookman Old Style"/>
          <w:b/>
          <w:bCs/>
        </w:rPr>
        <w:t>pari a 50 mln. annui dal 2025 al 2030</w:t>
      </w:r>
      <w:r w:rsidRPr="00241590">
        <w:rPr>
          <w:rFonts w:ascii="Bookman Old Style" w:hAnsi="Bookman Old Style"/>
        </w:rPr>
        <w:t>, a parità di importo a regime (600 mln. di euro dal 2031).</w:t>
      </w:r>
    </w:p>
    <w:p w14:paraId="62B39376" w14:textId="29F3B15D" w:rsidR="00212ACC" w:rsidRPr="000279C5" w:rsidRDefault="00020CA0" w:rsidP="000279C5">
      <w:pPr>
        <w:pStyle w:val="Titolo3"/>
        <w:rPr>
          <w:i/>
          <w:iCs/>
        </w:rPr>
      </w:pPr>
      <w:bookmarkStart w:id="6" w:name="_Toc181627251"/>
      <w:r w:rsidRPr="000279C5">
        <w:rPr>
          <w:i/>
          <w:iCs/>
        </w:rPr>
        <w:t xml:space="preserve">2.4 </w:t>
      </w:r>
      <w:r w:rsidRPr="000279C5">
        <w:rPr>
          <w:i/>
          <w:iCs/>
        </w:rPr>
        <w:tab/>
      </w:r>
      <w:r w:rsidR="00212ACC" w:rsidRPr="000279C5">
        <w:rPr>
          <w:i/>
          <w:iCs/>
        </w:rPr>
        <w:t xml:space="preserve">Personale </w:t>
      </w:r>
      <w:r w:rsidR="003E1269" w:rsidRPr="000279C5">
        <w:rPr>
          <w:i/>
          <w:iCs/>
        </w:rPr>
        <w:t>(art.110)</w:t>
      </w:r>
      <w:bookmarkEnd w:id="6"/>
    </w:p>
    <w:p w14:paraId="1E2D0CDB" w14:textId="23C2BA24" w:rsidR="00212ACC" w:rsidRPr="00212ACC" w:rsidRDefault="00843423" w:rsidP="00404033">
      <w:pPr>
        <w:jc w:val="both"/>
        <w:rPr>
          <w:rFonts w:ascii="Bookman Old Style" w:hAnsi="Bookman Old Style"/>
        </w:rPr>
      </w:pPr>
      <w:r w:rsidRPr="00241590">
        <w:rPr>
          <w:rFonts w:ascii="Bookman Old Style" w:hAnsi="Bookman Old Style"/>
        </w:rPr>
        <w:t xml:space="preserve">La norma di controllo </w:t>
      </w:r>
      <w:r w:rsidR="004F497D" w:rsidRPr="00241590">
        <w:rPr>
          <w:rFonts w:ascii="Bookman Old Style" w:hAnsi="Bookman Old Style"/>
        </w:rPr>
        <w:t xml:space="preserve">della dinamica del personale prevede il </w:t>
      </w:r>
      <w:r w:rsidR="00E23CE8" w:rsidRPr="00241590">
        <w:rPr>
          <w:rFonts w:ascii="Bookman Old Style" w:hAnsi="Bookman Old Style"/>
          <w:b/>
          <w:bCs/>
        </w:rPr>
        <w:t>limite</w:t>
      </w:r>
      <w:r w:rsidR="004F497D" w:rsidRPr="00241590">
        <w:rPr>
          <w:rFonts w:ascii="Bookman Old Style" w:hAnsi="Bookman Old Style"/>
          <w:b/>
          <w:bCs/>
        </w:rPr>
        <w:t xml:space="preserve"> alla copertura del </w:t>
      </w:r>
      <w:r w:rsidR="00212ACC" w:rsidRPr="00212ACC">
        <w:rPr>
          <w:rFonts w:ascii="Bookman Old Style" w:hAnsi="Bookman Old Style"/>
          <w:b/>
          <w:bCs/>
        </w:rPr>
        <w:t xml:space="preserve">turn over al 75% </w:t>
      </w:r>
      <w:r w:rsidR="00992D9F" w:rsidRPr="00212ACC">
        <w:rPr>
          <w:rFonts w:ascii="Bookman Old Style" w:hAnsi="Bookman Old Style"/>
          <w:b/>
          <w:bCs/>
        </w:rPr>
        <w:t>nell’anno 2025</w:t>
      </w:r>
      <w:r w:rsidR="00992D9F" w:rsidRPr="00212ACC">
        <w:rPr>
          <w:rFonts w:ascii="Bookman Old Style" w:hAnsi="Bookman Old Style"/>
        </w:rPr>
        <w:t xml:space="preserve"> </w:t>
      </w:r>
      <w:r w:rsidR="00212ACC" w:rsidRPr="00212ACC">
        <w:rPr>
          <w:rFonts w:ascii="Bookman Old Style" w:hAnsi="Bookman Old Style"/>
        </w:rPr>
        <w:t xml:space="preserve">per le assunzioni a tempo indeterminato per tutti </w:t>
      </w:r>
      <w:r w:rsidR="00E23CE8" w:rsidRPr="00241590">
        <w:rPr>
          <w:rFonts w:ascii="Bookman Old Style" w:hAnsi="Bookman Old Style"/>
        </w:rPr>
        <w:t xml:space="preserve">gli enti locali </w:t>
      </w:r>
      <w:r w:rsidR="00212ACC" w:rsidRPr="00212ACC">
        <w:rPr>
          <w:rFonts w:ascii="Bookman Old Style" w:hAnsi="Bookman Old Style"/>
        </w:rPr>
        <w:t xml:space="preserve">con più di 20 dipendenti di ruolo in servizio. </w:t>
      </w:r>
      <w:r w:rsidR="009E1CCF" w:rsidRPr="00241590">
        <w:rPr>
          <w:rFonts w:ascii="Bookman Old Style" w:hAnsi="Bookman Old Style"/>
        </w:rPr>
        <w:t xml:space="preserve">La percentuale è portata al 100% </w:t>
      </w:r>
      <w:r w:rsidR="003A30C4" w:rsidRPr="00241590">
        <w:rPr>
          <w:rFonts w:ascii="Bookman Old Style" w:hAnsi="Bookman Old Style"/>
        </w:rPr>
        <w:t>per il 2026</w:t>
      </w:r>
      <w:r w:rsidR="007D1999" w:rsidRPr="00241590">
        <w:rPr>
          <w:rFonts w:ascii="Bookman Old Style" w:hAnsi="Bookman Old Style"/>
        </w:rPr>
        <w:t>.</w:t>
      </w:r>
    </w:p>
    <w:p w14:paraId="108B8BB8" w14:textId="77777777" w:rsidR="000014A2" w:rsidRPr="00241590" w:rsidRDefault="00212ACC" w:rsidP="000014A2">
      <w:pPr>
        <w:jc w:val="both"/>
        <w:rPr>
          <w:rFonts w:ascii="Bookman Old Style" w:hAnsi="Bookman Old Style"/>
        </w:rPr>
      </w:pPr>
      <w:r w:rsidRPr="00212ACC">
        <w:rPr>
          <w:rFonts w:ascii="Bookman Old Style" w:hAnsi="Bookman Old Style"/>
        </w:rPr>
        <w:t>Da un primo e approssimativo calcolo sarebbero circa 3 mila gli Enti rientranti nell’ambito soggettivo della disposizione  e con alcuni effetti paradossali, dentro un Comparto che già vede una continua contrazione del personale in servizio e che, proprio con la regola della sostenibilità finanziaria, a partire dal 2020, ha faticosamente introdotto un principio virtuoso di governo della spesa per assunzioni di personale diametralmente opposto rispetto alla logica del taglio orizzontale e indifferenziato.</w:t>
      </w:r>
    </w:p>
    <w:p w14:paraId="261F4A75" w14:textId="5C8FB7D0" w:rsidR="00212ACC" w:rsidRPr="00212ACC" w:rsidRDefault="00212ACC" w:rsidP="000014A2">
      <w:pPr>
        <w:jc w:val="both"/>
        <w:rPr>
          <w:rFonts w:ascii="Bookman Old Style" w:hAnsi="Bookman Old Style"/>
        </w:rPr>
      </w:pPr>
      <w:r w:rsidRPr="00212ACC">
        <w:rPr>
          <w:rFonts w:ascii="Bookman Old Style" w:hAnsi="Bookman Old Style"/>
        </w:rPr>
        <w:t xml:space="preserve">Trattasi dunque, per un anno, di una sovrapposizione, </w:t>
      </w:r>
      <w:r w:rsidRPr="00212ACC">
        <w:rPr>
          <w:rFonts w:ascii="Bookman Old Style" w:hAnsi="Bookman Old Style"/>
          <w:i/>
          <w:iCs/>
        </w:rPr>
        <w:t xml:space="preserve">in </w:t>
      </w:r>
      <w:proofErr w:type="spellStart"/>
      <w:r w:rsidRPr="00212ACC">
        <w:rPr>
          <w:rFonts w:ascii="Bookman Old Style" w:hAnsi="Bookman Old Style"/>
          <w:i/>
          <w:iCs/>
        </w:rPr>
        <w:t>peius</w:t>
      </w:r>
      <w:proofErr w:type="spellEnd"/>
      <w:r w:rsidRPr="00212ACC">
        <w:rPr>
          <w:rFonts w:ascii="Bookman Old Style" w:hAnsi="Bookman Old Style"/>
        </w:rPr>
        <w:t xml:space="preserve">, della regola della cd sostenibilità finanziaria per il calcolo delle capacità assunzionali di Comuni e Città Metropolitane, introdotta solo 4 anni fa, con quella del </w:t>
      </w:r>
      <w:r w:rsidRPr="00212ACC">
        <w:rPr>
          <w:rFonts w:ascii="Bookman Old Style" w:hAnsi="Bookman Old Style"/>
          <w:i/>
          <w:iCs/>
        </w:rPr>
        <w:t>turn over</w:t>
      </w:r>
      <w:r w:rsidRPr="00212ACC">
        <w:rPr>
          <w:rFonts w:ascii="Bookman Old Style" w:hAnsi="Bookman Old Style"/>
        </w:rPr>
        <w:t xml:space="preserve"> parziale che mette a rischio: </w:t>
      </w:r>
    </w:p>
    <w:p w14:paraId="19783104" w14:textId="77777777" w:rsidR="00212ACC" w:rsidRPr="00212ACC" w:rsidRDefault="00212ACC" w:rsidP="00591137">
      <w:pPr>
        <w:numPr>
          <w:ilvl w:val="0"/>
          <w:numId w:val="8"/>
        </w:numPr>
        <w:ind w:left="709"/>
        <w:jc w:val="both"/>
        <w:rPr>
          <w:rFonts w:ascii="Bookman Old Style" w:hAnsi="Bookman Old Style"/>
        </w:rPr>
      </w:pPr>
      <w:r w:rsidRPr="00212ACC">
        <w:rPr>
          <w:rFonts w:ascii="Bookman Old Style" w:hAnsi="Bookman Old Style"/>
        </w:rPr>
        <w:t xml:space="preserve"> le programmazioni triennali dei fabbisogni di personale già approvate e in corso di attuazione, anche con procedure concorsuali già avviate, con evidenti possibili contenziosi con gli eventuali vincitori di concorso;</w:t>
      </w:r>
    </w:p>
    <w:p w14:paraId="32FD1702" w14:textId="77777777" w:rsidR="00212ACC" w:rsidRPr="00212ACC" w:rsidRDefault="00212ACC" w:rsidP="00591137">
      <w:pPr>
        <w:numPr>
          <w:ilvl w:val="0"/>
          <w:numId w:val="8"/>
        </w:numPr>
        <w:ind w:left="709"/>
        <w:jc w:val="both"/>
        <w:rPr>
          <w:rFonts w:ascii="Bookman Old Style" w:hAnsi="Bookman Old Style"/>
        </w:rPr>
      </w:pPr>
      <w:r w:rsidRPr="00212ACC">
        <w:rPr>
          <w:rFonts w:ascii="Bookman Old Style" w:hAnsi="Bookman Old Style"/>
        </w:rPr>
        <w:t xml:space="preserve">i processi di mobilità tra enti in quanto gli effetti finanziari degli stessi sarebbero diversi a seconda del regime assunzionale di Comuni e Città Metropolitane di provenienza e di destinazione.   </w:t>
      </w:r>
    </w:p>
    <w:p w14:paraId="0EAB41DE" w14:textId="77777777" w:rsidR="000B1615" w:rsidRDefault="002737D5" w:rsidP="00F3368E">
      <w:pPr>
        <w:jc w:val="both"/>
        <w:rPr>
          <w:rFonts w:ascii="Bookman Old Style" w:hAnsi="Bookman Old Style"/>
        </w:rPr>
      </w:pPr>
      <w:r w:rsidRPr="00241590">
        <w:rPr>
          <w:rFonts w:ascii="Bookman Old Style" w:hAnsi="Bookman Old Style"/>
        </w:rPr>
        <w:t xml:space="preserve">Appare altresì incongrua </w:t>
      </w:r>
      <w:r w:rsidR="00212ACC" w:rsidRPr="00212ACC">
        <w:rPr>
          <w:rFonts w:ascii="Bookman Old Style" w:hAnsi="Bookman Old Style"/>
        </w:rPr>
        <w:t>la motivazione con cui viene introdotta tale disciplina e cioè l’attuazione della riforma prevista dal PNRR</w:t>
      </w:r>
      <w:r w:rsidR="003E1269" w:rsidRPr="00241590">
        <w:rPr>
          <w:rFonts w:ascii="Bookman Old Style" w:hAnsi="Bookman Old Style"/>
        </w:rPr>
        <w:t>,</w:t>
      </w:r>
      <w:r w:rsidR="00212ACC" w:rsidRPr="00212ACC">
        <w:rPr>
          <w:rFonts w:ascii="Bookman Old Style" w:hAnsi="Bookman Old Style"/>
        </w:rPr>
        <w:t xml:space="preserve"> che invece sarebbe proprio quella messa a maggior rischio. </w:t>
      </w:r>
    </w:p>
    <w:p w14:paraId="3268762D" w14:textId="3BBAF73A" w:rsidR="00212ACC" w:rsidRPr="00212ACC" w:rsidRDefault="000B1615" w:rsidP="00F3368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L’andamento del personale comunale negli ultimi 15 anni è riportato nella figura seguente.</w:t>
      </w:r>
    </w:p>
    <w:p w14:paraId="7FDA5307" w14:textId="77777777" w:rsidR="00AB4DED" w:rsidRPr="009E22CD" w:rsidRDefault="003966F1" w:rsidP="009E22CD">
      <w:pPr>
        <w:keepNext/>
        <w:keepLines/>
        <w:spacing w:after="0" w:line="240" w:lineRule="auto"/>
        <w:jc w:val="center"/>
        <w:rPr>
          <w:b/>
          <w:bCs/>
          <w:sz w:val="22"/>
          <w:szCs w:val="22"/>
        </w:rPr>
      </w:pPr>
      <w:r w:rsidRPr="003966F1">
        <w:rPr>
          <w:b/>
          <w:bCs/>
          <w:sz w:val="22"/>
          <w:szCs w:val="22"/>
        </w:rPr>
        <w:lastRenderedPageBreak/>
        <w:t xml:space="preserve">Numero di dipendenti (a tempo determinato e indeterminato) dei Comuni italiani. </w:t>
      </w:r>
    </w:p>
    <w:p w14:paraId="6A7F9F9B" w14:textId="49A5FCA6" w:rsidR="003966F1" w:rsidRPr="003966F1" w:rsidRDefault="003966F1" w:rsidP="009E22CD">
      <w:pPr>
        <w:keepNext/>
        <w:keepLines/>
        <w:spacing w:after="0" w:line="240" w:lineRule="auto"/>
        <w:jc w:val="center"/>
        <w:rPr>
          <w:b/>
          <w:bCs/>
          <w:sz w:val="22"/>
          <w:szCs w:val="22"/>
        </w:rPr>
      </w:pPr>
      <w:r w:rsidRPr="003966F1">
        <w:rPr>
          <w:b/>
          <w:bCs/>
          <w:sz w:val="22"/>
          <w:szCs w:val="22"/>
        </w:rPr>
        <w:t>Anni 2007-2022</w:t>
      </w:r>
    </w:p>
    <w:p w14:paraId="407562A1" w14:textId="28534C0D" w:rsidR="00AE2EB4" w:rsidRDefault="000F459F" w:rsidP="00F47FC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B257A77" wp14:editId="22734297">
            <wp:extent cx="6105525" cy="3549291"/>
            <wp:effectExtent l="0" t="0" r="0" b="0"/>
            <wp:docPr id="38983798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004" cy="3557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166EB" w14:textId="77777777" w:rsidR="00F47FCF" w:rsidRPr="00F47FCF" w:rsidRDefault="00F47FCF" w:rsidP="00F47FCF">
      <w:pPr>
        <w:ind w:left="284"/>
        <w:jc w:val="both"/>
        <w:rPr>
          <w:sz w:val="18"/>
          <w:szCs w:val="18"/>
        </w:rPr>
      </w:pPr>
      <w:r w:rsidRPr="00F47FCF">
        <w:rPr>
          <w:i/>
          <w:iCs/>
          <w:sz w:val="18"/>
          <w:szCs w:val="18"/>
        </w:rPr>
        <w:t>Fonte: RGS-SICO Personale della PA 2007-2022</w:t>
      </w:r>
    </w:p>
    <w:p w14:paraId="26FBB2FF" w14:textId="77777777" w:rsidR="000B1615" w:rsidRDefault="000B1615" w:rsidP="006C13A3">
      <w:pPr>
        <w:ind w:left="-567"/>
        <w:jc w:val="both"/>
      </w:pPr>
    </w:p>
    <w:sectPr w:rsidR="000B1615" w:rsidSect="00CE5B07">
      <w:headerReference w:type="default" r:id="rId13"/>
      <w:footerReference w:type="default" r:id="rId14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A3437" w14:textId="77777777" w:rsidR="0070556E" w:rsidRDefault="0070556E" w:rsidP="00CC1E1C">
      <w:pPr>
        <w:spacing w:after="0" w:line="240" w:lineRule="auto"/>
      </w:pPr>
      <w:r>
        <w:separator/>
      </w:r>
    </w:p>
  </w:endnote>
  <w:endnote w:type="continuationSeparator" w:id="0">
    <w:p w14:paraId="0921B822" w14:textId="77777777" w:rsidR="0070556E" w:rsidRDefault="0070556E" w:rsidP="00CC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982200"/>
      <w:docPartObj>
        <w:docPartGallery w:val="Page Numbers (Bottom of Page)"/>
        <w:docPartUnique/>
      </w:docPartObj>
    </w:sdtPr>
    <w:sdtEndPr/>
    <w:sdtContent>
      <w:p w14:paraId="6449FAE3" w14:textId="7D6BE038" w:rsidR="00CC1E1C" w:rsidRDefault="00CC1E1C">
        <w:pPr>
          <w:pStyle w:val="Pidipagina"/>
          <w:jc w:val="right"/>
        </w:pPr>
        <w:r w:rsidRPr="00CC1E1C">
          <w:rPr>
            <w:sz w:val="18"/>
            <w:szCs w:val="18"/>
          </w:rPr>
          <w:fldChar w:fldCharType="begin"/>
        </w:r>
        <w:r w:rsidRPr="00CC1E1C">
          <w:rPr>
            <w:sz w:val="18"/>
            <w:szCs w:val="18"/>
          </w:rPr>
          <w:instrText>PAGE   \* MERGEFORMAT</w:instrText>
        </w:r>
        <w:r w:rsidRPr="00CC1E1C">
          <w:rPr>
            <w:sz w:val="18"/>
            <w:szCs w:val="18"/>
          </w:rPr>
          <w:fldChar w:fldCharType="separate"/>
        </w:r>
        <w:r w:rsidRPr="00CC1E1C">
          <w:rPr>
            <w:sz w:val="18"/>
            <w:szCs w:val="18"/>
          </w:rPr>
          <w:t>2</w:t>
        </w:r>
        <w:r w:rsidRPr="00CC1E1C">
          <w:rPr>
            <w:sz w:val="18"/>
            <w:szCs w:val="18"/>
          </w:rPr>
          <w:fldChar w:fldCharType="end"/>
        </w:r>
      </w:p>
    </w:sdtContent>
  </w:sdt>
  <w:p w14:paraId="7603B31B" w14:textId="77777777" w:rsidR="00CC1E1C" w:rsidRDefault="00CC1E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F5563" w14:textId="77777777" w:rsidR="0070556E" w:rsidRDefault="0070556E" w:rsidP="00CC1E1C">
      <w:pPr>
        <w:spacing w:after="0" w:line="240" w:lineRule="auto"/>
      </w:pPr>
      <w:r>
        <w:separator/>
      </w:r>
    </w:p>
  </w:footnote>
  <w:footnote w:type="continuationSeparator" w:id="0">
    <w:p w14:paraId="6D34C666" w14:textId="77777777" w:rsidR="0070556E" w:rsidRDefault="0070556E" w:rsidP="00CC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1680" w14:textId="5884D0B7" w:rsidR="00CE5B07" w:rsidRDefault="00CE5B07" w:rsidP="00CE5B07">
    <w:pPr>
      <w:pStyle w:val="Intestazione"/>
      <w:jc w:val="center"/>
    </w:pPr>
    <w:r>
      <w:rPr>
        <w:noProof/>
      </w:rPr>
      <w:drawing>
        <wp:inline distT="0" distB="0" distL="0" distR="0" wp14:anchorId="7A47ED9E" wp14:editId="5CC60FE4">
          <wp:extent cx="257175" cy="380172"/>
          <wp:effectExtent l="0" t="0" r="0" b="1270"/>
          <wp:docPr id="2016118094" name="Immagine 1" descr="Immagine che contiene Carattere, diagramma, linea, Rettang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796884" name="Immagine 1" descr="Immagine che contiene Carattere, diagramma, linea, Rettang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13" cy="38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032A"/>
    <w:multiLevelType w:val="hybridMultilevel"/>
    <w:tmpl w:val="6734A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00D9"/>
    <w:multiLevelType w:val="hybridMultilevel"/>
    <w:tmpl w:val="B406E190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06623"/>
    <w:multiLevelType w:val="hybridMultilevel"/>
    <w:tmpl w:val="D0A2531A"/>
    <w:lvl w:ilvl="0" w:tplc="DF9285C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D0E11"/>
    <w:multiLevelType w:val="hybridMultilevel"/>
    <w:tmpl w:val="6AEA358A"/>
    <w:lvl w:ilvl="0" w:tplc="474C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D0A90"/>
    <w:multiLevelType w:val="hybridMultilevel"/>
    <w:tmpl w:val="27462956"/>
    <w:lvl w:ilvl="0" w:tplc="D27A18B4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884C70"/>
    <w:multiLevelType w:val="hybridMultilevel"/>
    <w:tmpl w:val="FBE8B6C4"/>
    <w:lvl w:ilvl="0" w:tplc="93A6D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67C33"/>
    <w:multiLevelType w:val="hybridMultilevel"/>
    <w:tmpl w:val="F8FA427C"/>
    <w:lvl w:ilvl="0" w:tplc="2018BE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61070"/>
    <w:multiLevelType w:val="hybridMultilevel"/>
    <w:tmpl w:val="B82037A0"/>
    <w:lvl w:ilvl="0" w:tplc="2500D1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44528"/>
    <w:multiLevelType w:val="hybridMultilevel"/>
    <w:tmpl w:val="B406E190"/>
    <w:lvl w:ilvl="0" w:tplc="F4DE85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44F98"/>
    <w:multiLevelType w:val="multilevel"/>
    <w:tmpl w:val="9642D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985595"/>
    <w:multiLevelType w:val="hybridMultilevel"/>
    <w:tmpl w:val="4E6E3470"/>
    <w:lvl w:ilvl="0" w:tplc="CA54A50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E2138"/>
    <w:multiLevelType w:val="hybridMultilevel"/>
    <w:tmpl w:val="0D34F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38"/>
    <w:rsid w:val="000014A2"/>
    <w:rsid w:val="00020CA0"/>
    <w:rsid w:val="000279C5"/>
    <w:rsid w:val="000303C7"/>
    <w:rsid w:val="00032D18"/>
    <w:rsid w:val="00053A6B"/>
    <w:rsid w:val="00082C16"/>
    <w:rsid w:val="00094F69"/>
    <w:rsid w:val="000B1615"/>
    <w:rsid w:val="000B4DF6"/>
    <w:rsid w:val="000D1390"/>
    <w:rsid w:val="000F40D5"/>
    <w:rsid w:val="000F459F"/>
    <w:rsid w:val="000F7509"/>
    <w:rsid w:val="00143A9F"/>
    <w:rsid w:val="0015404E"/>
    <w:rsid w:val="001658FB"/>
    <w:rsid w:val="0017142C"/>
    <w:rsid w:val="001764CF"/>
    <w:rsid w:val="00186D41"/>
    <w:rsid w:val="001A52B7"/>
    <w:rsid w:val="001B092E"/>
    <w:rsid w:val="001D1BD6"/>
    <w:rsid w:val="001D6809"/>
    <w:rsid w:val="00212ACC"/>
    <w:rsid w:val="002164A9"/>
    <w:rsid w:val="00241590"/>
    <w:rsid w:val="00257755"/>
    <w:rsid w:val="002623E3"/>
    <w:rsid w:val="002650AE"/>
    <w:rsid w:val="002737D5"/>
    <w:rsid w:val="00282FE8"/>
    <w:rsid w:val="002A0D30"/>
    <w:rsid w:val="002A1BAC"/>
    <w:rsid w:val="002B5955"/>
    <w:rsid w:val="002C0CF8"/>
    <w:rsid w:val="002C6EA9"/>
    <w:rsid w:val="002E36CC"/>
    <w:rsid w:val="002F706E"/>
    <w:rsid w:val="0030483E"/>
    <w:rsid w:val="00304BC4"/>
    <w:rsid w:val="00324060"/>
    <w:rsid w:val="00326334"/>
    <w:rsid w:val="00361F8E"/>
    <w:rsid w:val="003860A7"/>
    <w:rsid w:val="003929F7"/>
    <w:rsid w:val="003966F1"/>
    <w:rsid w:val="003A30C4"/>
    <w:rsid w:val="003C3E46"/>
    <w:rsid w:val="003D02AD"/>
    <w:rsid w:val="003D3BB0"/>
    <w:rsid w:val="003E1269"/>
    <w:rsid w:val="003E741F"/>
    <w:rsid w:val="00404033"/>
    <w:rsid w:val="004570A8"/>
    <w:rsid w:val="004572C3"/>
    <w:rsid w:val="00483FA1"/>
    <w:rsid w:val="00494E09"/>
    <w:rsid w:val="004A43E7"/>
    <w:rsid w:val="004E158B"/>
    <w:rsid w:val="004F497D"/>
    <w:rsid w:val="004F6AE8"/>
    <w:rsid w:val="00511273"/>
    <w:rsid w:val="00514114"/>
    <w:rsid w:val="005148E6"/>
    <w:rsid w:val="00517441"/>
    <w:rsid w:val="005331BD"/>
    <w:rsid w:val="0053520F"/>
    <w:rsid w:val="00586BD0"/>
    <w:rsid w:val="0058745E"/>
    <w:rsid w:val="00591137"/>
    <w:rsid w:val="00591B21"/>
    <w:rsid w:val="005A004C"/>
    <w:rsid w:val="00600144"/>
    <w:rsid w:val="00600F1C"/>
    <w:rsid w:val="00637E56"/>
    <w:rsid w:val="006539AB"/>
    <w:rsid w:val="006743F3"/>
    <w:rsid w:val="0067583E"/>
    <w:rsid w:val="00696C5E"/>
    <w:rsid w:val="006C13A3"/>
    <w:rsid w:val="006C69D0"/>
    <w:rsid w:val="006E0CA0"/>
    <w:rsid w:val="0070556E"/>
    <w:rsid w:val="00710665"/>
    <w:rsid w:val="007656CD"/>
    <w:rsid w:val="007808B4"/>
    <w:rsid w:val="00790EB5"/>
    <w:rsid w:val="007C2B25"/>
    <w:rsid w:val="007C6DBE"/>
    <w:rsid w:val="007D1999"/>
    <w:rsid w:val="007F0401"/>
    <w:rsid w:val="007F19BF"/>
    <w:rsid w:val="007F4526"/>
    <w:rsid w:val="00843423"/>
    <w:rsid w:val="008534C0"/>
    <w:rsid w:val="00857E5E"/>
    <w:rsid w:val="00874CAC"/>
    <w:rsid w:val="008777C1"/>
    <w:rsid w:val="008A51EB"/>
    <w:rsid w:val="008C2597"/>
    <w:rsid w:val="008D43B6"/>
    <w:rsid w:val="008F1B89"/>
    <w:rsid w:val="00902A3F"/>
    <w:rsid w:val="00905284"/>
    <w:rsid w:val="00920E3A"/>
    <w:rsid w:val="00922D49"/>
    <w:rsid w:val="00924D64"/>
    <w:rsid w:val="00961F38"/>
    <w:rsid w:val="0099009F"/>
    <w:rsid w:val="00992D9F"/>
    <w:rsid w:val="009B6F24"/>
    <w:rsid w:val="009B71D6"/>
    <w:rsid w:val="009E1CCF"/>
    <w:rsid w:val="009E22CD"/>
    <w:rsid w:val="00A06DD9"/>
    <w:rsid w:val="00A14DCB"/>
    <w:rsid w:val="00A24B99"/>
    <w:rsid w:val="00A472C7"/>
    <w:rsid w:val="00A52FA7"/>
    <w:rsid w:val="00A65DCE"/>
    <w:rsid w:val="00A83FE5"/>
    <w:rsid w:val="00A84965"/>
    <w:rsid w:val="00A87D5A"/>
    <w:rsid w:val="00A9741B"/>
    <w:rsid w:val="00AA6D53"/>
    <w:rsid w:val="00AB4DED"/>
    <w:rsid w:val="00AB7961"/>
    <w:rsid w:val="00AD1DDE"/>
    <w:rsid w:val="00AE0AA4"/>
    <w:rsid w:val="00AE2EB4"/>
    <w:rsid w:val="00AF2921"/>
    <w:rsid w:val="00B21A51"/>
    <w:rsid w:val="00B3009B"/>
    <w:rsid w:val="00B65403"/>
    <w:rsid w:val="00B753A5"/>
    <w:rsid w:val="00B826C7"/>
    <w:rsid w:val="00BB231A"/>
    <w:rsid w:val="00BC2AC2"/>
    <w:rsid w:val="00BD24FB"/>
    <w:rsid w:val="00BF1C23"/>
    <w:rsid w:val="00BF4704"/>
    <w:rsid w:val="00BF6DC8"/>
    <w:rsid w:val="00C045A3"/>
    <w:rsid w:val="00C618E3"/>
    <w:rsid w:val="00CB3DFC"/>
    <w:rsid w:val="00CC1E1C"/>
    <w:rsid w:val="00CC3C31"/>
    <w:rsid w:val="00CE106B"/>
    <w:rsid w:val="00CE5B07"/>
    <w:rsid w:val="00CF3414"/>
    <w:rsid w:val="00D30C27"/>
    <w:rsid w:val="00D337D9"/>
    <w:rsid w:val="00D40C76"/>
    <w:rsid w:val="00D431A4"/>
    <w:rsid w:val="00D74A54"/>
    <w:rsid w:val="00DA1223"/>
    <w:rsid w:val="00DA53C8"/>
    <w:rsid w:val="00DC1D66"/>
    <w:rsid w:val="00DC6E5B"/>
    <w:rsid w:val="00DD04DA"/>
    <w:rsid w:val="00DF1C8E"/>
    <w:rsid w:val="00E10963"/>
    <w:rsid w:val="00E17A13"/>
    <w:rsid w:val="00E23CE8"/>
    <w:rsid w:val="00E343F3"/>
    <w:rsid w:val="00E445DD"/>
    <w:rsid w:val="00E53813"/>
    <w:rsid w:val="00E54381"/>
    <w:rsid w:val="00EA382B"/>
    <w:rsid w:val="00EB0080"/>
    <w:rsid w:val="00ED4C93"/>
    <w:rsid w:val="00EF5E9A"/>
    <w:rsid w:val="00F27C60"/>
    <w:rsid w:val="00F27FC8"/>
    <w:rsid w:val="00F3368E"/>
    <w:rsid w:val="00F47FCF"/>
    <w:rsid w:val="00F525BE"/>
    <w:rsid w:val="00F551A4"/>
    <w:rsid w:val="00F73166"/>
    <w:rsid w:val="00F86B2D"/>
    <w:rsid w:val="00FA1A79"/>
    <w:rsid w:val="00FF1299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B9F6D"/>
  <w15:chartTrackingRefBased/>
  <w15:docId w15:val="{5D6E599B-0C57-47C1-B2F4-512624A2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1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1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61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1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1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1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1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1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1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1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1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61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1F3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1F3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1F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1F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1F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1F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1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1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1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1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1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1F38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961F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1F3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1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1F3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1F3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C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E1C"/>
  </w:style>
  <w:style w:type="paragraph" w:styleId="Pidipagina">
    <w:name w:val="footer"/>
    <w:basedOn w:val="Normale"/>
    <w:link w:val="PidipaginaCarattere"/>
    <w:uiPriority w:val="99"/>
    <w:unhideWhenUsed/>
    <w:rsid w:val="00CC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E1C"/>
  </w:style>
  <w:style w:type="character" w:customStyle="1" w:styleId="ParagrafoelencoCarattere">
    <w:name w:val="Paragrafo elenco Carattere"/>
    <w:link w:val="Paragrafoelenco"/>
    <w:uiPriority w:val="34"/>
    <w:qFormat/>
    <w:locked/>
    <w:rsid w:val="005331B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31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31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31BD"/>
    <w:rPr>
      <w:vertAlign w:val="superscrip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17A13"/>
    <w:pPr>
      <w:spacing w:before="240" w:after="0" w:line="259" w:lineRule="auto"/>
      <w:outlineLvl w:val="9"/>
    </w:pPr>
    <w:rPr>
      <w:kern w:val="0"/>
      <w:sz w:val="32"/>
      <w:szCs w:val="32"/>
      <w:lang w:eastAsia="it-IT"/>
      <w14:ligatures w14:val="none"/>
    </w:rPr>
  </w:style>
  <w:style w:type="paragraph" w:styleId="Sommario2">
    <w:name w:val="toc 2"/>
    <w:basedOn w:val="Normale"/>
    <w:next w:val="Normale"/>
    <w:autoRedefine/>
    <w:uiPriority w:val="39"/>
    <w:unhideWhenUsed/>
    <w:rsid w:val="00E17A13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E17A13"/>
    <w:pPr>
      <w:spacing w:after="100"/>
      <w:ind w:left="480"/>
    </w:pPr>
  </w:style>
  <w:style w:type="character" w:styleId="Collegamentoipertestuale">
    <w:name w:val="Hyperlink"/>
    <w:basedOn w:val="Carpredefinitoparagrafo"/>
    <w:uiPriority w:val="99"/>
    <w:unhideWhenUsed/>
    <w:rsid w:val="00E17A13"/>
    <w:rPr>
      <w:color w:val="467886" w:themeColor="hyperlink"/>
      <w:u w:val="single"/>
    </w:rPr>
  </w:style>
  <w:style w:type="character" w:customStyle="1" w:styleId="normaltextrun">
    <w:name w:val="normaltextrun"/>
    <w:basedOn w:val="Carpredefinitoparagrafo"/>
    <w:rsid w:val="0067583E"/>
  </w:style>
  <w:style w:type="character" w:styleId="Enfasigrassetto">
    <w:name w:val="Strong"/>
    <w:basedOn w:val="Carpredefinitoparagrafo"/>
    <w:uiPriority w:val="22"/>
    <w:qFormat/>
    <w:rsid w:val="0067583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703D-DE86-451E-A6B7-F9803249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Ferri</dc:creator>
  <cp:keywords/>
  <dc:description/>
  <cp:lastModifiedBy>Cdd</cp:lastModifiedBy>
  <cp:revision>2</cp:revision>
  <cp:lastPrinted>2024-11-05T08:06:00Z</cp:lastPrinted>
  <dcterms:created xsi:type="dcterms:W3CDTF">2024-11-05T08:07:00Z</dcterms:created>
  <dcterms:modified xsi:type="dcterms:W3CDTF">2024-11-05T08:07:00Z</dcterms:modified>
</cp:coreProperties>
</file>