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FBF77" w14:textId="2A2D52B1" w:rsidR="00C667A2" w:rsidRDefault="00C667A2" w:rsidP="00CB3831">
      <w:pPr>
        <w:spacing w:before="120" w:after="120" w:line="480" w:lineRule="auto"/>
        <w:jc w:val="center"/>
        <w:rPr>
          <w:lang w:val="it-IT"/>
        </w:rPr>
      </w:pPr>
      <w:bookmarkStart w:id="0" w:name="_GoBack"/>
      <w:bookmarkEnd w:id="0"/>
      <w:r w:rsidRPr="000E074E">
        <w:rPr>
          <w:lang w:val="it-IT"/>
        </w:rPr>
        <w:t>Marco Buti</w:t>
      </w:r>
    </w:p>
    <w:p w14:paraId="02C847D9" w14:textId="77777777" w:rsidR="002374A1" w:rsidRDefault="00C21553" w:rsidP="00CB3831">
      <w:pPr>
        <w:spacing w:before="120" w:after="120" w:line="480" w:lineRule="auto"/>
        <w:jc w:val="center"/>
        <w:rPr>
          <w:lang w:val="it-IT"/>
        </w:rPr>
      </w:pPr>
      <w:r>
        <w:rPr>
          <w:lang w:val="it-IT"/>
        </w:rPr>
        <w:t>Titolare della Cattedra Tommaso Padoa-Schioppa in integrazione economica e moneta</w:t>
      </w:r>
      <w:r w:rsidR="00F34C8E">
        <w:rPr>
          <w:lang w:val="it-IT"/>
        </w:rPr>
        <w:t xml:space="preserve">ria europea, </w:t>
      </w:r>
      <w:r>
        <w:rPr>
          <w:lang w:val="it-IT"/>
        </w:rPr>
        <w:t>Istituto</w:t>
      </w:r>
      <w:r w:rsidR="00F34C8E">
        <w:rPr>
          <w:lang w:val="it-IT"/>
        </w:rPr>
        <w:t xml:space="preserve"> Universitario Europeo</w:t>
      </w:r>
    </w:p>
    <w:p w14:paraId="0320A4C3" w14:textId="50A06196" w:rsidR="00245A50" w:rsidRDefault="002374A1" w:rsidP="001F6DC2">
      <w:pPr>
        <w:spacing w:before="120" w:after="120" w:line="480" w:lineRule="auto"/>
        <w:rPr>
          <w:i/>
          <w:iCs/>
          <w:lang w:val="it-IT"/>
        </w:rPr>
      </w:pPr>
      <w:r w:rsidRPr="00CB3831">
        <w:rPr>
          <w:i/>
          <w:iCs/>
          <w:lang w:val="it-IT"/>
        </w:rPr>
        <w:t xml:space="preserve">Audizione </w:t>
      </w:r>
      <w:r w:rsidR="00FB30C2" w:rsidRPr="00CB3831">
        <w:rPr>
          <w:i/>
          <w:iCs/>
          <w:lang w:val="it-IT"/>
        </w:rPr>
        <w:t>dinanzi alle Commissi</w:t>
      </w:r>
      <w:r w:rsidR="00B954E9">
        <w:rPr>
          <w:i/>
          <w:iCs/>
          <w:lang w:val="it-IT"/>
        </w:rPr>
        <w:t>o</w:t>
      </w:r>
      <w:r w:rsidR="00FB30C2" w:rsidRPr="00CB3831">
        <w:rPr>
          <w:i/>
          <w:iCs/>
          <w:lang w:val="it-IT"/>
        </w:rPr>
        <w:t>ni di Bilancio congiunte della Camera e del Senato</w:t>
      </w:r>
      <w:r w:rsidR="00D06447" w:rsidRPr="00CB3831">
        <w:rPr>
          <w:i/>
          <w:iCs/>
          <w:lang w:val="it-IT"/>
        </w:rPr>
        <w:t xml:space="preserve"> sulla riforma delle procedure di programmazione economica e finanziaria </w:t>
      </w:r>
      <w:r w:rsidR="00931FBD" w:rsidRPr="00CB3831">
        <w:rPr>
          <w:i/>
          <w:iCs/>
          <w:lang w:val="it-IT"/>
        </w:rPr>
        <w:t xml:space="preserve"> e di bilancio, a seguito della riforma della governance economica europea</w:t>
      </w:r>
      <w:r w:rsidR="00245A50">
        <w:rPr>
          <w:i/>
          <w:iCs/>
          <w:lang w:val="it-IT"/>
        </w:rPr>
        <w:t>.</w:t>
      </w:r>
      <w:r w:rsidR="00C21553" w:rsidRPr="00CB3831">
        <w:rPr>
          <w:i/>
          <w:iCs/>
          <w:lang w:val="it-IT"/>
        </w:rPr>
        <w:t xml:space="preserve">  </w:t>
      </w:r>
    </w:p>
    <w:p w14:paraId="2F976934" w14:textId="77777777" w:rsidR="00562486" w:rsidRPr="001F6DC2" w:rsidRDefault="00562486" w:rsidP="001F6DC2">
      <w:pPr>
        <w:spacing w:before="120" w:after="120" w:line="480" w:lineRule="auto"/>
        <w:rPr>
          <w:i/>
          <w:iCs/>
          <w:lang w:val="it-IT"/>
        </w:rPr>
      </w:pPr>
    </w:p>
    <w:p w14:paraId="1007AC8A" w14:textId="03D0CC49" w:rsidR="00C667A2" w:rsidRPr="000E074E" w:rsidRDefault="00F45F4B" w:rsidP="00F73B41">
      <w:pPr>
        <w:spacing w:before="240" w:after="120" w:line="480" w:lineRule="auto"/>
        <w:jc w:val="both"/>
        <w:rPr>
          <w:lang w:val="it-IT"/>
        </w:rPr>
      </w:pPr>
      <w:r w:rsidRPr="000E074E">
        <w:rPr>
          <w:lang w:val="it-IT"/>
        </w:rPr>
        <w:t>Si è molto discusso de</w:t>
      </w:r>
      <w:r w:rsidR="00524719" w:rsidRPr="000E074E">
        <w:rPr>
          <w:lang w:val="it-IT"/>
        </w:rPr>
        <w:t xml:space="preserve">i pregi e dei difetti delle nuove regole </w:t>
      </w:r>
      <w:r w:rsidR="00C6681A">
        <w:rPr>
          <w:lang w:val="it-IT"/>
        </w:rPr>
        <w:t>di bilancio</w:t>
      </w:r>
      <w:r w:rsidR="003744C8" w:rsidRPr="000E074E">
        <w:rPr>
          <w:lang w:val="it-IT"/>
        </w:rPr>
        <w:t xml:space="preserve"> comunitarie</w:t>
      </w:r>
      <w:r w:rsidR="007513FA" w:rsidRPr="000E074E">
        <w:rPr>
          <w:lang w:val="it-IT"/>
        </w:rPr>
        <w:t>, adottate in via definitiva a fine aprile scorso</w:t>
      </w:r>
      <w:r w:rsidR="003744C8" w:rsidRPr="000E074E">
        <w:rPr>
          <w:lang w:val="it-IT"/>
        </w:rPr>
        <w:t xml:space="preserve">, rispetto alle vecchie regole e alla proposta </w:t>
      </w:r>
      <w:r w:rsidR="002244CD" w:rsidRPr="000E074E">
        <w:rPr>
          <w:lang w:val="it-IT"/>
        </w:rPr>
        <w:t>inizial</w:t>
      </w:r>
      <w:r w:rsidR="006C4D3E" w:rsidRPr="000E074E">
        <w:rPr>
          <w:lang w:val="it-IT"/>
        </w:rPr>
        <w:t xml:space="preserve">e </w:t>
      </w:r>
      <w:r w:rsidR="002244CD" w:rsidRPr="000E074E">
        <w:rPr>
          <w:lang w:val="it-IT"/>
        </w:rPr>
        <w:t>della Commissione. Sono stat</w:t>
      </w:r>
      <w:r w:rsidR="003455D9" w:rsidRPr="000E074E">
        <w:rPr>
          <w:lang w:val="it-IT"/>
        </w:rPr>
        <w:t>e</w:t>
      </w:r>
      <w:r w:rsidR="002244CD" w:rsidRPr="000E074E">
        <w:rPr>
          <w:lang w:val="it-IT"/>
        </w:rPr>
        <w:t xml:space="preserve"> </w:t>
      </w:r>
      <w:r w:rsidR="003455D9" w:rsidRPr="000E074E">
        <w:rPr>
          <w:lang w:val="it-IT"/>
        </w:rPr>
        <w:t>anche esaminate le conseguenze che l</w:t>
      </w:r>
      <w:r w:rsidR="005810BE" w:rsidRPr="000E074E">
        <w:rPr>
          <w:lang w:val="it-IT"/>
        </w:rPr>
        <w:t xml:space="preserve">’applicazione delle nuove regole avranno sull’orientamento </w:t>
      </w:r>
      <w:r w:rsidR="006C4D3E" w:rsidRPr="000E074E">
        <w:rPr>
          <w:lang w:val="it-IT"/>
        </w:rPr>
        <w:t xml:space="preserve">delle politiche </w:t>
      </w:r>
      <w:r w:rsidR="00B93D1B">
        <w:rPr>
          <w:lang w:val="it-IT"/>
        </w:rPr>
        <w:t>di bilancio</w:t>
      </w:r>
      <w:r w:rsidR="00BD7881" w:rsidRPr="000E074E">
        <w:rPr>
          <w:lang w:val="it-IT"/>
        </w:rPr>
        <w:t xml:space="preserve"> nel breve termine e nel più lungo termine</w:t>
      </w:r>
      <w:r w:rsidR="00AE245D" w:rsidRPr="000E074E">
        <w:rPr>
          <w:lang w:val="it-IT"/>
        </w:rPr>
        <w:t xml:space="preserve"> (cfr</w:t>
      </w:r>
      <w:r w:rsidR="005D499C">
        <w:rPr>
          <w:lang w:val="it-IT"/>
        </w:rPr>
        <w:t>.</w:t>
      </w:r>
      <w:r w:rsidR="00AE245D" w:rsidRPr="000E074E">
        <w:rPr>
          <w:lang w:val="it-IT"/>
        </w:rPr>
        <w:t xml:space="preserve"> Buti e Messori su</w:t>
      </w:r>
      <w:r w:rsidR="00D30130">
        <w:rPr>
          <w:lang w:val="it-IT"/>
        </w:rPr>
        <w:t xml:space="preserve">l Sole 24 </w:t>
      </w:r>
      <w:r w:rsidR="001F6DC2">
        <w:rPr>
          <w:lang w:val="it-IT"/>
        </w:rPr>
        <w:t>O</w:t>
      </w:r>
      <w:r w:rsidR="00D30130">
        <w:rPr>
          <w:lang w:val="it-IT"/>
        </w:rPr>
        <w:t xml:space="preserve">re del </w:t>
      </w:r>
      <w:r w:rsidR="00082AFD" w:rsidRPr="000E074E">
        <w:rPr>
          <w:lang w:val="it-IT"/>
        </w:rPr>
        <w:t>12 maggio s</w:t>
      </w:r>
      <w:r w:rsidR="00056455">
        <w:rPr>
          <w:lang w:val="it-IT"/>
        </w:rPr>
        <w:t>co</w:t>
      </w:r>
      <w:r w:rsidR="00082AFD" w:rsidRPr="000E074E">
        <w:rPr>
          <w:lang w:val="it-IT"/>
        </w:rPr>
        <w:t>rso</w:t>
      </w:r>
      <w:r w:rsidR="00767C33">
        <w:rPr>
          <w:lang w:val="it-IT"/>
        </w:rPr>
        <w:t>, P</w:t>
      </w:r>
      <w:r w:rsidR="00056455">
        <w:rPr>
          <w:lang w:val="it-IT"/>
        </w:rPr>
        <w:t>ench</w:t>
      </w:r>
      <w:r w:rsidR="00C44ACE">
        <w:rPr>
          <w:lang w:val="it-IT"/>
        </w:rPr>
        <w:t xml:space="preserve"> su Bruegel</w:t>
      </w:r>
      <w:r w:rsidR="00E64319">
        <w:rPr>
          <w:lang w:val="it-IT"/>
        </w:rPr>
        <w:t>, maggio</w:t>
      </w:r>
      <w:r w:rsidR="00082AFD" w:rsidRPr="000E074E">
        <w:rPr>
          <w:lang w:val="it-IT"/>
        </w:rPr>
        <w:t>)</w:t>
      </w:r>
      <w:r w:rsidR="00BD7881" w:rsidRPr="000E074E">
        <w:rPr>
          <w:lang w:val="it-IT"/>
        </w:rPr>
        <w:t>. Meno s</w:t>
      </w:r>
      <w:r w:rsidR="00461E22" w:rsidRPr="000E074E">
        <w:rPr>
          <w:lang w:val="it-IT"/>
        </w:rPr>
        <w:t xml:space="preserve">ono state </w:t>
      </w:r>
      <w:r w:rsidR="00315B00">
        <w:rPr>
          <w:lang w:val="it-IT"/>
        </w:rPr>
        <w:t>dibattute</w:t>
      </w:r>
      <w:r w:rsidR="00461E22" w:rsidRPr="000E074E">
        <w:rPr>
          <w:lang w:val="it-IT"/>
        </w:rPr>
        <w:t xml:space="preserve"> le conseguenze del nuovo quadro </w:t>
      </w:r>
      <w:r w:rsidR="00A13F36" w:rsidRPr="000E074E">
        <w:rPr>
          <w:lang w:val="it-IT"/>
        </w:rPr>
        <w:t>comune</w:t>
      </w:r>
      <w:r w:rsidR="00461E22" w:rsidRPr="000E074E">
        <w:rPr>
          <w:lang w:val="it-IT"/>
        </w:rPr>
        <w:t xml:space="preserve"> </w:t>
      </w:r>
      <w:r w:rsidR="008D1565" w:rsidRPr="000E074E">
        <w:rPr>
          <w:lang w:val="it-IT"/>
        </w:rPr>
        <w:t>sull’approccio alla formulazione delle politiche di bilancio nazionali</w:t>
      </w:r>
      <w:r w:rsidR="005D499C">
        <w:rPr>
          <w:lang w:val="it-IT"/>
        </w:rPr>
        <w:t xml:space="preserve"> (cfr</w:t>
      </w:r>
      <w:r w:rsidR="00082AFD" w:rsidRPr="000E074E">
        <w:rPr>
          <w:lang w:val="it-IT"/>
        </w:rPr>
        <w:t>.</w:t>
      </w:r>
      <w:r w:rsidR="00F73B41" w:rsidRPr="00F73B41">
        <w:rPr>
          <w:lang w:val="it-IT"/>
        </w:rPr>
        <w:t xml:space="preserve"> </w:t>
      </w:r>
      <w:r w:rsidR="00F73B41">
        <w:rPr>
          <w:lang w:val="it-IT"/>
        </w:rPr>
        <w:t>Memorie la Banca d’Italia e l’Ufficio Parlamentare di Bilancio).</w:t>
      </w:r>
      <w:r w:rsidR="00082AFD" w:rsidRPr="000E074E">
        <w:rPr>
          <w:lang w:val="it-IT"/>
        </w:rPr>
        <w:t xml:space="preserve"> In realtà, </w:t>
      </w:r>
      <w:r w:rsidR="00E31E14" w:rsidRPr="000E074E">
        <w:rPr>
          <w:lang w:val="it-IT"/>
        </w:rPr>
        <w:t xml:space="preserve">è </w:t>
      </w:r>
      <w:r w:rsidR="00103D8A" w:rsidRPr="000E074E">
        <w:rPr>
          <w:lang w:val="it-IT"/>
        </w:rPr>
        <w:t xml:space="preserve">questo forse l’impatto più sistemico </w:t>
      </w:r>
      <w:r w:rsidR="00966529" w:rsidRPr="000E074E">
        <w:rPr>
          <w:lang w:val="it-IT"/>
        </w:rPr>
        <w:t>che avrà il</w:t>
      </w:r>
      <w:r w:rsidR="00103D8A" w:rsidRPr="000E074E">
        <w:rPr>
          <w:lang w:val="it-IT"/>
        </w:rPr>
        <w:t xml:space="preserve"> nuovo patto di stabilità e crescit</w:t>
      </w:r>
      <w:r w:rsidR="008C2CB4" w:rsidRPr="000E074E">
        <w:rPr>
          <w:lang w:val="it-IT"/>
        </w:rPr>
        <w:t>a.</w:t>
      </w:r>
    </w:p>
    <w:p w14:paraId="33FDE721" w14:textId="47F6ED87" w:rsidR="002E65AD" w:rsidRPr="000E074E" w:rsidRDefault="00DA4960" w:rsidP="00CB3831">
      <w:pPr>
        <w:spacing w:before="120" w:after="120" w:line="480" w:lineRule="auto"/>
        <w:jc w:val="both"/>
        <w:rPr>
          <w:lang w:val="it-IT"/>
        </w:rPr>
      </w:pPr>
      <w:r w:rsidRPr="000E074E">
        <w:rPr>
          <w:lang w:val="it-IT"/>
        </w:rPr>
        <w:t xml:space="preserve">La </w:t>
      </w:r>
      <w:r w:rsidR="00BC2876" w:rsidRPr="000E074E">
        <w:rPr>
          <w:lang w:val="it-IT"/>
        </w:rPr>
        <w:t xml:space="preserve">variabile strumentale </w:t>
      </w:r>
      <w:r w:rsidRPr="000E074E">
        <w:rPr>
          <w:lang w:val="it-IT"/>
        </w:rPr>
        <w:t>nell</w:t>
      </w:r>
      <w:r w:rsidR="009275ED" w:rsidRPr="000E074E">
        <w:rPr>
          <w:lang w:val="it-IT"/>
        </w:rPr>
        <w:t xml:space="preserve">’implementazione delle nuove regole </w:t>
      </w:r>
      <w:r w:rsidR="00BC2876" w:rsidRPr="000E074E">
        <w:rPr>
          <w:lang w:val="it-IT"/>
        </w:rPr>
        <w:t xml:space="preserve">sarà la </w:t>
      </w:r>
      <w:r w:rsidR="00F21961" w:rsidRPr="000E074E">
        <w:rPr>
          <w:lang w:val="it-IT"/>
        </w:rPr>
        <w:t>“</w:t>
      </w:r>
      <w:r w:rsidR="00BC2876" w:rsidRPr="000E074E">
        <w:rPr>
          <w:lang w:val="it-IT"/>
        </w:rPr>
        <w:t>spesa netta</w:t>
      </w:r>
      <w:r w:rsidR="00F21961" w:rsidRPr="000E074E">
        <w:rPr>
          <w:lang w:val="it-IT"/>
        </w:rPr>
        <w:t>”</w:t>
      </w:r>
      <w:r w:rsidR="009275ED" w:rsidRPr="000E074E">
        <w:rPr>
          <w:lang w:val="it-IT"/>
        </w:rPr>
        <w:t>:</w:t>
      </w:r>
      <w:r w:rsidR="003B47ED" w:rsidRPr="000E074E">
        <w:rPr>
          <w:lang w:val="it-IT"/>
        </w:rPr>
        <w:t xml:space="preserve"> </w:t>
      </w:r>
      <w:r w:rsidR="00B92AD7" w:rsidRPr="000E074E">
        <w:rPr>
          <w:lang w:val="it-IT"/>
        </w:rPr>
        <w:t xml:space="preserve">la sua traiettoria </w:t>
      </w:r>
      <w:r w:rsidR="001631A4" w:rsidRPr="000E074E">
        <w:rPr>
          <w:lang w:val="it-IT"/>
        </w:rPr>
        <w:t xml:space="preserve">pluriennale </w:t>
      </w:r>
      <w:r w:rsidR="00321066" w:rsidRPr="000E074E">
        <w:rPr>
          <w:lang w:val="it-IT"/>
        </w:rPr>
        <w:t>dovrà</w:t>
      </w:r>
      <w:r w:rsidR="00062E4A" w:rsidRPr="000E074E">
        <w:rPr>
          <w:lang w:val="it-IT"/>
        </w:rPr>
        <w:t xml:space="preserve"> permett</w:t>
      </w:r>
      <w:r w:rsidR="00321066" w:rsidRPr="000E074E">
        <w:rPr>
          <w:lang w:val="it-IT"/>
        </w:rPr>
        <w:t>ere</w:t>
      </w:r>
      <w:r w:rsidR="00062E4A" w:rsidRPr="000E074E">
        <w:rPr>
          <w:lang w:val="it-IT"/>
        </w:rPr>
        <w:t xml:space="preserve"> di porre il debito pubblico </w:t>
      </w:r>
      <w:r w:rsidR="002464A6" w:rsidRPr="000E074E">
        <w:rPr>
          <w:lang w:val="it-IT"/>
        </w:rPr>
        <w:t>su un sentiero di sostenibilità</w:t>
      </w:r>
      <w:r w:rsidR="00321066" w:rsidRPr="000E074E">
        <w:rPr>
          <w:lang w:val="it-IT"/>
        </w:rPr>
        <w:t xml:space="preserve"> a medio termine.</w:t>
      </w:r>
      <w:r w:rsidR="002464A6" w:rsidRPr="000E074E">
        <w:rPr>
          <w:lang w:val="it-IT"/>
        </w:rPr>
        <w:t xml:space="preserve"> </w:t>
      </w:r>
      <w:r w:rsidR="006753DA" w:rsidRPr="000E074E">
        <w:rPr>
          <w:lang w:val="it-IT"/>
        </w:rPr>
        <w:t>La spesa netta</w:t>
      </w:r>
      <w:r w:rsidR="00AF1D21" w:rsidRPr="000E074E">
        <w:rPr>
          <w:lang w:val="it-IT"/>
        </w:rPr>
        <w:t xml:space="preserve"> è definita come </w:t>
      </w:r>
      <w:r w:rsidR="00FD2B3E" w:rsidRPr="000E074E">
        <w:rPr>
          <w:lang w:val="it-IT"/>
        </w:rPr>
        <w:t xml:space="preserve">le uscite della pubblica amministrazione </w:t>
      </w:r>
      <w:r w:rsidR="001D7537" w:rsidRPr="000E074E">
        <w:rPr>
          <w:lang w:val="it-IT"/>
        </w:rPr>
        <w:t>al netto d</w:t>
      </w:r>
      <w:r w:rsidR="004F2B05" w:rsidRPr="000E074E">
        <w:rPr>
          <w:lang w:val="it-IT"/>
        </w:rPr>
        <w:t>el carico di</w:t>
      </w:r>
      <w:r w:rsidR="001D7537" w:rsidRPr="000E074E">
        <w:rPr>
          <w:lang w:val="it-IT"/>
        </w:rPr>
        <w:t xml:space="preserve"> interessi</w:t>
      </w:r>
      <w:r w:rsidR="004F2B05" w:rsidRPr="000E074E">
        <w:rPr>
          <w:lang w:val="it-IT"/>
        </w:rPr>
        <w:t xml:space="preserve"> sul debito pubblico</w:t>
      </w:r>
      <w:r w:rsidR="001D7537" w:rsidRPr="000E074E">
        <w:rPr>
          <w:lang w:val="it-IT"/>
        </w:rPr>
        <w:t xml:space="preserve">, delle </w:t>
      </w:r>
      <w:r w:rsidR="004F2B05" w:rsidRPr="000E074E">
        <w:rPr>
          <w:lang w:val="it-IT"/>
        </w:rPr>
        <w:t xml:space="preserve">spese </w:t>
      </w:r>
      <w:r w:rsidR="001D7537" w:rsidRPr="000E074E">
        <w:rPr>
          <w:lang w:val="it-IT"/>
        </w:rPr>
        <w:t xml:space="preserve">per </w:t>
      </w:r>
      <w:r w:rsidR="001742F2" w:rsidRPr="000E074E">
        <w:rPr>
          <w:lang w:val="it-IT"/>
        </w:rPr>
        <w:t>i programmi dell</w:t>
      </w:r>
      <w:r w:rsidR="00B76F66" w:rsidRPr="000E074E">
        <w:rPr>
          <w:lang w:val="it-IT"/>
        </w:rPr>
        <w:t>’</w:t>
      </w:r>
      <w:r w:rsidR="001742F2" w:rsidRPr="000E074E">
        <w:rPr>
          <w:lang w:val="it-IT"/>
        </w:rPr>
        <w:t>Unione Europea (Ue)</w:t>
      </w:r>
      <w:r w:rsidR="00A90410" w:rsidRPr="000E074E">
        <w:rPr>
          <w:lang w:val="it-IT"/>
        </w:rPr>
        <w:t xml:space="preserve"> finanziati interamente o parzialmente da </w:t>
      </w:r>
      <w:r w:rsidR="0038456E" w:rsidRPr="000E074E">
        <w:rPr>
          <w:lang w:val="it-IT"/>
        </w:rPr>
        <w:t>trasferimenti europei, d</w:t>
      </w:r>
      <w:r w:rsidR="008E46D4">
        <w:rPr>
          <w:lang w:val="it-IT"/>
        </w:rPr>
        <w:t>e</w:t>
      </w:r>
      <w:r w:rsidR="0038456E" w:rsidRPr="000E074E">
        <w:rPr>
          <w:lang w:val="it-IT"/>
        </w:rPr>
        <w:t xml:space="preserve">lla componente ciclica della spesa per la disoccupazione, </w:t>
      </w:r>
      <w:r w:rsidR="006B75FA" w:rsidRPr="000E074E">
        <w:rPr>
          <w:lang w:val="it-IT"/>
        </w:rPr>
        <w:lastRenderedPageBreak/>
        <w:t>d</w:t>
      </w:r>
      <w:r w:rsidR="005C0921">
        <w:rPr>
          <w:lang w:val="it-IT"/>
        </w:rPr>
        <w:t>e</w:t>
      </w:r>
      <w:r w:rsidR="006B75FA" w:rsidRPr="000E074E">
        <w:rPr>
          <w:lang w:val="it-IT"/>
        </w:rPr>
        <w:t xml:space="preserve">lle misure </w:t>
      </w:r>
      <w:r w:rsidR="006B75FA" w:rsidRPr="000E074E">
        <w:rPr>
          <w:i/>
          <w:iCs/>
          <w:lang w:val="it-IT"/>
        </w:rPr>
        <w:t>una tantum</w:t>
      </w:r>
      <w:r w:rsidR="006B75FA" w:rsidRPr="000E074E">
        <w:rPr>
          <w:lang w:val="it-IT"/>
        </w:rPr>
        <w:t xml:space="preserve"> e d</w:t>
      </w:r>
      <w:r w:rsidR="008E46D4">
        <w:rPr>
          <w:lang w:val="it-IT"/>
        </w:rPr>
        <w:t>e</w:t>
      </w:r>
      <w:r w:rsidR="006B75FA" w:rsidRPr="000E074E">
        <w:rPr>
          <w:lang w:val="it-IT"/>
        </w:rPr>
        <w:t xml:space="preserve">lle </w:t>
      </w:r>
      <w:r w:rsidR="00F0248B" w:rsidRPr="000E074E">
        <w:rPr>
          <w:lang w:val="it-IT"/>
        </w:rPr>
        <w:t>decisioni</w:t>
      </w:r>
      <w:r w:rsidR="006B75FA" w:rsidRPr="000E074E">
        <w:rPr>
          <w:lang w:val="it-IT"/>
        </w:rPr>
        <w:t xml:space="preserve"> discrezionali in materia di entrate. </w:t>
      </w:r>
      <w:r w:rsidR="0035571D">
        <w:rPr>
          <w:lang w:val="it-IT"/>
        </w:rPr>
        <w:t xml:space="preserve">La Commissione </w:t>
      </w:r>
      <w:r w:rsidR="004F6DAE">
        <w:rPr>
          <w:lang w:val="it-IT"/>
        </w:rPr>
        <w:t xml:space="preserve">produrrà una </w:t>
      </w:r>
      <w:r w:rsidR="004F6DAE" w:rsidRPr="004F6DAE">
        <w:rPr>
          <w:i/>
          <w:iCs/>
          <w:lang w:val="it-IT"/>
        </w:rPr>
        <w:t>guidance</w:t>
      </w:r>
      <w:r w:rsidR="004F6DAE">
        <w:rPr>
          <w:lang w:val="it-IT"/>
        </w:rPr>
        <w:t xml:space="preserve"> su come </w:t>
      </w:r>
      <w:r w:rsidR="00F5236E">
        <w:rPr>
          <w:lang w:val="it-IT"/>
        </w:rPr>
        <w:t>quantificare</w:t>
      </w:r>
      <w:r w:rsidR="00746200">
        <w:rPr>
          <w:lang w:val="it-IT"/>
        </w:rPr>
        <w:t xml:space="preserve"> le varie componenti.</w:t>
      </w:r>
    </w:p>
    <w:p w14:paraId="793F73D7" w14:textId="1FBA2BB2" w:rsidR="004F2B05" w:rsidRPr="000E074E" w:rsidRDefault="006B75FA" w:rsidP="00CB3831">
      <w:pPr>
        <w:spacing w:before="120" w:after="120" w:line="480" w:lineRule="auto"/>
        <w:jc w:val="both"/>
        <w:rPr>
          <w:lang w:val="it-IT"/>
        </w:rPr>
      </w:pPr>
      <w:r w:rsidRPr="000E074E">
        <w:rPr>
          <w:lang w:val="it-IT"/>
        </w:rPr>
        <w:t xml:space="preserve">La spesa netta </w:t>
      </w:r>
      <w:r w:rsidR="00020F8B" w:rsidRPr="000E074E">
        <w:rPr>
          <w:lang w:val="it-IT"/>
        </w:rPr>
        <w:t>rimpiazza</w:t>
      </w:r>
      <w:r w:rsidRPr="000E074E">
        <w:rPr>
          <w:lang w:val="it-IT"/>
        </w:rPr>
        <w:t xml:space="preserve"> </w:t>
      </w:r>
      <w:r w:rsidR="0014098D" w:rsidRPr="000E074E">
        <w:rPr>
          <w:lang w:val="it-IT"/>
        </w:rPr>
        <w:t xml:space="preserve">il </w:t>
      </w:r>
      <w:r w:rsidR="00690750" w:rsidRPr="000E074E">
        <w:rPr>
          <w:lang w:val="it-IT"/>
        </w:rPr>
        <w:t>meno trasparente</w:t>
      </w:r>
      <w:r w:rsidR="0051487D" w:rsidRPr="000E074E">
        <w:rPr>
          <w:lang w:val="it-IT"/>
        </w:rPr>
        <w:t xml:space="preserve"> </w:t>
      </w:r>
      <w:r w:rsidR="0014098D" w:rsidRPr="000E074E">
        <w:rPr>
          <w:lang w:val="it-IT"/>
        </w:rPr>
        <w:t>saldo</w:t>
      </w:r>
      <w:r w:rsidR="00F0248B" w:rsidRPr="000E074E">
        <w:rPr>
          <w:lang w:val="it-IT"/>
        </w:rPr>
        <w:t xml:space="preserve"> di bilancio</w:t>
      </w:r>
      <w:r w:rsidR="0014098D" w:rsidRPr="000E074E">
        <w:rPr>
          <w:lang w:val="it-IT"/>
        </w:rPr>
        <w:t xml:space="preserve"> strutturale</w:t>
      </w:r>
      <w:r w:rsidR="00DB26A2" w:rsidRPr="000E074E">
        <w:rPr>
          <w:lang w:val="it-IT"/>
        </w:rPr>
        <w:t>.</w:t>
      </w:r>
      <w:r w:rsidR="0014098D" w:rsidRPr="000E074E">
        <w:rPr>
          <w:lang w:val="it-IT"/>
        </w:rPr>
        <w:t xml:space="preserve"> </w:t>
      </w:r>
      <w:r w:rsidR="00967B34" w:rsidRPr="000E074E">
        <w:rPr>
          <w:lang w:val="it-IT"/>
        </w:rPr>
        <w:t xml:space="preserve">La traiettoria della spesa netta dovrà sostituire l’obiettivo a medio termine </w:t>
      </w:r>
      <w:r w:rsidR="002A2DD2" w:rsidRPr="000E074E">
        <w:rPr>
          <w:lang w:val="it-IT"/>
        </w:rPr>
        <w:t xml:space="preserve">(che per l’Italia corrisponde ad </w:t>
      </w:r>
      <w:r w:rsidR="00252EE2" w:rsidRPr="000E074E">
        <w:rPr>
          <w:lang w:val="it-IT"/>
        </w:rPr>
        <w:t>un surplus strutturale di 0.25% del Pil</w:t>
      </w:r>
      <w:r w:rsidR="00C02909" w:rsidRPr="000E074E">
        <w:rPr>
          <w:lang w:val="it-IT"/>
        </w:rPr>
        <w:t xml:space="preserve">) </w:t>
      </w:r>
      <w:r w:rsidR="00967B34" w:rsidRPr="000E074E">
        <w:rPr>
          <w:lang w:val="it-IT"/>
        </w:rPr>
        <w:t>nella legislazione nazionale (L</w:t>
      </w:r>
      <w:r w:rsidR="003F3222" w:rsidRPr="000E074E">
        <w:rPr>
          <w:lang w:val="it-IT"/>
        </w:rPr>
        <w:t>eggi</w:t>
      </w:r>
      <w:r w:rsidR="00967B34" w:rsidRPr="000E074E">
        <w:rPr>
          <w:lang w:val="it-IT"/>
        </w:rPr>
        <w:t xml:space="preserve"> 196/</w:t>
      </w:r>
      <w:r w:rsidR="000F4F00" w:rsidRPr="000E074E">
        <w:rPr>
          <w:lang w:val="it-IT"/>
        </w:rPr>
        <w:t>200</w:t>
      </w:r>
      <w:r w:rsidR="00967B34" w:rsidRPr="000E074E">
        <w:rPr>
          <w:lang w:val="it-IT"/>
        </w:rPr>
        <w:t>9 e 243/2012)</w:t>
      </w:r>
      <w:r w:rsidR="004F2B05" w:rsidRPr="000E074E">
        <w:rPr>
          <w:lang w:val="it-IT"/>
        </w:rPr>
        <w:t xml:space="preserve"> e nei documenti di bilancio (il Documento di economia e finanza, DEF, di aprile, la Nota di aggiornamento del DEF, NADEF, di settembre, e il documento annuale di bilancio di metà ottobre).</w:t>
      </w:r>
    </w:p>
    <w:p w14:paraId="2ADA7A9C" w14:textId="476988ED" w:rsidR="007A3176" w:rsidRPr="000E074E" w:rsidRDefault="009F16E0" w:rsidP="00CB3831">
      <w:pPr>
        <w:spacing w:before="120" w:after="120" w:line="480" w:lineRule="auto"/>
        <w:jc w:val="both"/>
        <w:rPr>
          <w:lang w:val="it-IT"/>
        </w:rPr>
      </w:pPr>
      <w:r>
        <w:rPr>
          <w:lang w:val="it-IT"/>
        </w:rPr>
        <w:t xml:space="preserve">In via di principio, </w:t>
      </w:r>
      <w:r w:rsidR="005808C6" w:rsidRPr="000E074E">
        <w:rPr>
          <w:lang w:val="it-IT"/>
        </w:rPr>
        <w:t xml:space="preserve">la spesa netta </w:t>
      </w:r>
      <w:r w:rsidR="00120A8D">
        <w:rPr>
          <w:lang w:val="it-IT"/>
        </w:rPr>
        <w:t>è</w:t>
      </w:r>
      <w:r w:rsidR="00446F69" w:rsidRPr="000E074E">
        <w:rPr>
          <w:lang w:val="it-IT"/>
        </w:rPr>
        <w:t xml:space="preserve"> preferibile</w:t>
      </w:r>
      <w:r w:rsidR="00120A8D">
        <w:rPr>
          <w:lang w:val="it-IT"/>
        </w:rPr>
        <w:t xml:space="preserve"> </w:t>
      </w:r>
      <w:r w:rsidR="00446F69" w:rsidRPr="000E074E">
        <w:rPr>
          <w:lang w:val="it-IT"/>
        </w:rPr>
        <w:t>a</w:t>
      </w:r>
      <w:r w:rsidR="00DB26A2" w:rsidRPr="000E074E">
        <w:rPr>
          <w:lang w:val="it-IT"/>
        </w:rPr>
        <w:t>l saldo strutturale che si è dimostrato volatile e tendenzialmente pro-ciclico.</w:t>
      </w:r>
      <w:r w:rsidR="00B60406" w:rsidRPr="000E074E">
        <w:rPr>
          <w:lang w:val="it-IT"/>
        </w:rPr>
        <w:t xml:space="preserve"> </w:t>
      </w:r>
      <w:r w:rsidR="0058683D">
        <w:rPr>
          <w:lang w:val="it-IT"/>
        </w:rPr>
        <w:t>Una accelerazione o una decelerazione dell’</w:t>
      </w:r>
      <w:r w:rsidR="00167E0A" w:rsidRPr="000E074E">
        <w:rPr>
          <w:lang w:val="it-IT"/>
        </w:rPr>
        <w:t>attività economi</w:t>
      </w:r>
      <w:r w:rsidR="00CD17D6">
        <w:rPr>
          <w:lang w:val="it-IT"/>
        </w:rPr>
        <w:t>ca</w:t>
      </w:r>
      <w:r w:rsidR="007B6D86">
        <w:rPr>
          <w:lang w:val="it-IT"/>
        </w:rPr>
        <w:t xml:space="preserve"> rispetto </w:t>
      </w:r>
      <w:r w:rsidR="00AB3863">
        <w:rPr>
          <w:lang w:val="it-IT"/>
        </w:rPr>
        <w:t>al</w:t>
      </w:r>
      <w:r w:rsidR="004F2B05" w:rsidRPr="000E074E">
        <w:rPr>
          <w:lang w:val="it-IT"/>
        </w:rPr>
        <w:t xml:space="preserve"> potenziale</w:t>
      </w:r>
      <w:r w:rsidR="00167E0A" w:rsidRPr="000E074E">
        <w:rPr>
          <w:lang w:val="it-IT"/>
        </w:rPr>
        <w:t xml:space="preserve"> </w:t>
      </w:r>
      <w:r w:rsidR="00CD17D6">
        <w:rPr>
          <w:lang w:val="it-IT"/>
        </w:rPr>
        <w:t>da</w:t>
      </w:r>
      <w:r w:rsidR="00350938">
        <w:rPr>
          <w:lang w:val="it-IT"/>
        </w:rPr>
        <w:t>rà</w:t>
      </w:r>
      <w:r w:rsidR="00CD17D6">
        <w:rPr>
          <w:lang w:val="it-IT"/>
        </w:rPr>
        <w:t xml:space="preserve"> luogo </w:t>
      </w:r>
      <w:r w:rsidR="00167E0A" w:rsidRPr="000E074E">
        <w:rPr>
          <w:lang w:val="it-IT"/>
        </w:rPr>
        <w:t xml:space="preserve">a </w:t>
      </w:r>
      <w:r w:rsidR="00566E46" w:rsidRPr="000E074E">
        <w:rPr>
          <w:lang w:val="it-IT"/>
        </w:rPr>
        <w:t>variazioni automatiche delle</w:t>
      </w:r>
      <w:r w:rsidR="00167E0A" w:rsidRPr="000E074E">
        <w:rPr>
          <w:lang w:val="it-IT"/>
        </w:rPr>
        <w:t xml:space="preserve"> entrate fiscali</w:t>
      </w:r>
      <w:r w:rsidR="004F4E1C">
        <w:rPr>
          <w:lang w:val="it-IT"/>
        </w:rPr>
        <w:t xml:space="preserve"> e </w:t>
      </w:r>
      <w:r w:rsidR="00C943EA" w:rsidRPr="000E074E">
        <w:rPr>
          <w:lang w:val="it-IT"/>
        </w:rPr>
        <w:t>delle</w:t>
      </w:r>
      <w:r w:rsidR="00167E0A" w:rsidRPr="000E074E">
        <w:rPr>
          <w:lang w:val="it-IT"/>
        </w:rPr>
        <w:t xml:space="preserve"> spese dovute a</w:t>
      </w:r>
      <w:r w:rsidR="00350938">
        <w:rPr>
          <w:lang w:val="it-IT"/>
        </w:rPr>
        <w:t xml:space="preserve">lla disoccupazione – poste escluse dalla spesa netta - </w:t>
      </w:r>
      <w:r w:rsidR="00DB21C8">
        <w:rPr>
          <w:lang w:val="it-IT"/>
        </w:rPr>
        <w:t xml:space="preserve"> </w:t>
      </w:r>
      <w:r w:rsidR="00440533" w:rsidRPr="000E074E">
        <w:rPr>
          <w:lang w:val="it-IT"/>
        </w:rPr>
        <w:t>con effett</w:t>
      </w:r>
      <w:r w:rsidR="00DB21C8">
        <w:rPr>
          <w:lang w:val="it-IT"/>
        </w:rPr>
        <w:t>i</w:t>
      </w:r>
      <w:r w:rsidR="00440533" w:rsidRPr="000E074E">
        <w:rPr>
          <w:lang w:val="it-IT"/>
        </w:rPr>
        <w:t xml:space="preserve"> stabilizzant</w:t>
      </w:r>
      <w:r w:rsidR="00DB21C8">
        <w:rPr>
          <w:lang w:val="it-IT"/>
        </w:rPr>
        <w:t>i</w:t>
      </w:r>
      <w:r w:rsidR="00350938">
        <w:rPr>
          <w:lang w:val="it-IT"/>
        </w:rPr>
        <w:t xml:space="preserve"> simmetrici sull’attività economica</w:t>
      </w:r>
      <w:r w:rsidR="002C1BD7" w:rsidRPr="000E074E">
        <w:rPr>
          <w:lang w:val="it-IT"/>
        </w:rPr>
        <w:t>.</w:t>
      </w:r>
    </w:p>
    <w:p w14:paraId="5A258C98" w14:textId="2C04093A" w:rsidR="002C1BD7" w:rsidRPr="000E074E" w:rsidRDefault="004F2B05" w:rsidP="00CB3831">
      <w:pPr>
        <w:spacing w:before="120" w:after="120" w:line="480" w:lineRule="auto"/>
        <w:jc w:val="both"/>
        <w:rPr>
          <w:lang w:val="it-IT"/>
        </w:rPr>
      </w:pPr>
      <w:r w:rsidRPr="000E074E">
        <w:rPr>
          <w:lang w:val="it-IT"/>
        </w:rPr>
        <w:t>Secondo le nuove regole, i</w:t>
      </w:r>
      <w:r w:rsidR="00FE1F0C" w:rsidRPr="000E074E">
        <w:rPr>
          <w:lang w:val="it-IT"/>
        </w:rPr>
        <w:t xml:space="preserve">l percorso della spesa netta </w:t>
      </w:r>
      <w:r w:rsidR="00E02679" w:rsidRPr="000E074E">
        <w:rPr>
          <w:lang w:val="it-IT"/>
        </w:rPr>
        <w:t xml:space="preserve">è fissato </w:t>
      </w:r>
      <w:r w:rsidRPr="000E074E">
        <w:rPr>
          <w:lang w:val="it-IT"/>
        </w:rPr>
        <w:t xml:space="preserve">in accordo fra Stato membro, Commissione e Consiglio </w:t>
      </w:r>
      <w:r w:rsidR="00E02679" w:rsidRPr="000E074E">
        <w:rPr>
          <w:lang w:val="it-IT"/>
        </w:rPr>
        <w:t xml:space="preserve">all’inizio del piano </w:t>
      </w:r>
      <w:r w:rsidRPr="000E074E">
        <w:rPr>
          <w:lang w:val="it-IT"/>
        </w:rPr>
        <w:t xml:space="preserve">fiscale-strutturale per tutto il periodo coperto dal piano stesso </w:t>
      </w:r>
      <w:r w:rsidR="00E02679" w:rsidRPr="000E074E">
        <w:rPr>
          <w:lang w:val="it-IT"/>
        </w:rPr>
        <w:t xml:space="preserve">e non è </w:t>
      </w:r>
      <w:r w:rsidR="00201F3B" w:rsidRPr="000E074E">
        <w:rPr>
          <w:lang w:val="it-IT"/>
        </w:rPr>
        <w:t>più modificabile</w:t>
      </w:r>
      <w:r w:rsidR="0040163B" w:rsidRPr="000E074E">
        <w:rPr>
          <w:lang w:val="it-IT"/>
        </w:rPr>
        <w:t>, salvo circostanze eccezionali</w:t>
      </w:r>
      <w:r w:rsidR="00F30644" w:rsidRPr="000E074E">
        <w:rPr>
          <w:lang w:val="it-IT"/>
        </w:rPr>
        <w:t xml:space="preserve"> che </w:t>
      </w:r>
      <w:r w:rsidRPr="000E074E">
        <w:rPr>
          <w:lang w:val="it-IT"/>
        </w:rPr>
        <w:t>conducano ad</w:t>
      </w:r>
      <w:r w:rsidR="00F30644" w:rsidRPr="000E074E">
        <w:rPr>
          <w:lang w:val="it-IT"/>
        </w:rPr>
        <w:t xml:space="preserve"> </w:t>
      </w:r>
      <w:r w:rsidRPr="000E074E">
        <w:rPr>
          <w:lang w:val="it-IT"/>
        </w:rPr>
        <w:t>applicare</w:t>
      </w:r>
      <w:r w:rsidR="00F30644" w:rsidRPr="000E074E">
        <w:rPr>
          <w:lang w:val="it-IT"/>
        </w:rPr>
        <w:t xml:space="preserve"> la clausola </w:t>
      </w:r>
      <w:r w:rsidR="00C555C5" w:rsidRPr="000E074E">
        <w:rPr>
          <w:lang w:val="it-IT"/>
        </w:rPr>
        <w:t xml:space="preserve">generale o nazionale </w:t>
      </w:r>
      <w:r w:rsidR="00F30644" w:rsidRPr="000E074E">
        <w:rPr>
          <w:lang w:val="it-IT"/>
        </w:rPr>
        <w:t xml:space="preserve">di </w:t>
      </w:r>
      <w:r w:rsidR="00315A1D" w:rsidRPr="000E074E">
        <w:rPr>
          <w:lang w:val="it-IT"/>
        </w:rPr>
        <w:t>sospensione dell</w:t>
      </w:r>
      <w:r w:rsidRPr="000E074E">
        <w:rPr>
          <w:lang w:val="it-IT"/>
        </w:rPr>
        <w:t>’aggiustamento concordato</w:t>
      </w:r>
      <w:r w:rsidR="00A52FBC" w:rsidRPr="000E074E">
        <w:rPr>
          <w:lang w:val="it-IT"/>
        </w:rPr>
        <w:t xml:space="preserve">. </w:t>
      </w:r>
      <w:r w:rsidRPr="000E074E">
        <w:rPr>
          <w:lang w:val="it-IT"/>
        </w:rPr>
        <w:t>La focalizzazione sul medio termine comporta</w:t>
      </w:r>
      <w:r w:rsidR="00A52FBC" w:rsidRPr="000E074E">
        <w:rPr>
          <w:lang w:val="it-IT"/>
        </w:rPr>
        <w:t xml:space="preserve"> un cambiamento radicale di approccio nella programmazione di bilancio</w:t>
      </w:r>
      <w:r w:rsidR="00B95093" w:rsidRPr="000E074E">
        <w:rPr>
          <w:lang w:val="it-IT"/>
        </w:rPr>
        <w:t>. N</w:t>
      </w:r>
      <w:r w:rsidR="007A435E" w:rsidRPr="000E074E">
        <w:rPr>
          <w:lang w:val="it-IT"/>
        </w:rPr>
        <w:t xml:space="preserve">on si avrà più </w:t>
      </w:r>
      <w:r w:rsidR="00B95093" w:rsidRPr="000E074E">
        <w:rPr>
          <w:lang w:val="it-IT"/>
        </w:rPr>
        <w:t xml:space="preserve">la discussione </w:t>
      </w:r>
      <w:r w:rsidR="008A338E" w:rsidRPr="000E074E">
        <w:rPr>
          <w:lang w:val="it-IT"/>
        </w:rPr>
        <w:t>ogni primaver</w:t>
      </w:r>
      <w:r w:rsidR="007D6794" w:rsidRPr="000E074E">
        <w:rPr>
          <w:lang w:val="it-IT"/>
        </w:rPr>
        <w:t xml:space="preserve">a e autunno </w:t>
      </w:r>
      <w:r w:rsidR="008340C2" w:rsidRPr="000E074E">
        <w:rPr>
          <w:lang w:val="it-IT"/>
        </w:rPr>
        <w:t>su</w:t>
      </w:r>
      <w:r w:rsidR="008A338E" w:rsidRPr="000E074E">
        <w:rPr>
          <w:lang w:val="it-IT"/>
        </w:rPr>
        <w:t xml:space="preserve">ll’opportunità di </w:t>
      </w:r>
      <w:r w:rsidR="008340C2" w:rsidRPr="000E074E">
        <w:rPr>
          <w:lang w:val="it-IT"/>
        </w:rPr>
        <w:t xml:space="preserve">cambiare </w:t>
      </w:r>
      <w:r w:rsidR="007D6794" w:rsidRPr="000E074E">
        <w:rPr>
          <w:lang w:val="it-IT"/>
        </w:rPr>
        <w:t>l’</w:t>
      </w:r>
      <w:r w:rsidR="008340C2" w:rsidRPr="000E074E">
        <w:rPr>
          <w:lang w:val="it-IT"/>
        </w:rPr>
        <w:t>obiettiv</w:t>
      </w:r>
      <w:r w:rsidR="007D6794" w:rsidRPr="000E074E">
        <w:rPr>
          <w:lang w:val="it-IT"/>
        </w:rPr>
        <w:t>o del</w:t>
      </w:r>
      <w:r w:rsidR="008340C2" w:rsidRPr="000E074E">
        <w:rPr>
          <w:lang w:val="it-IT"/>
        </w:rPr>
        <w:t xml:space="preserve"> deficit</w:t>
      </w:r>
      <w:r w:rsidR="00AE1157" w:rsidRPr="000E074E">
        <w:rPr>
          <w:lang w:val="it-IT"/>
        </w:rPr>
        <w:t xml:space="preserve"> </w:t>
      </w:r>
      <w:r w:rsidR="007D6794" w:rsidRPr="000E074E">
        <w:rPr>
          <w:lang w:val="it-IT"/>
        </w:rPr>
        <w:t>annuale</w:t>
      </w:r>
      <w:r w:rsidR="00AE1157" w:rsidRPr="000E074E">
        <w:rPr>
          <w:lang w:val="it-IT"/>
        </w:rPr>
        <w:t xml:space="preserve">: i </w:t>
      </w:r>
      <w:r w:rsidR="00FD3F54" w:rsidRPr="000E074E">
        <w:rPr>
          <w:lang w:val="it-IT"/>
        </w:rPr>
        <w:t xml:space="preserve">documenti attuali </w:t>
      </w:r>
      <w:r w:rsidR="00F55983" w:rsidRPr="000E074E">
        <w:rPr>
          <w:lang w:val="it-IT"/>
        </w:rPr>
        <w:t xml:space="preserve">della programmazione di </w:t>
      </w:r>
      <w:r w:rsidR="005E2B20" w:rsidRPr="000E074E">
        <w:rPr>
          <w:lang w:val="it-IT"/>
        </w:rPr>
        <w:t xml:space="preserve">bilancio </w:t>
      </w:r>
      <w:r w:rsidR="003A6115" w:rsidRPr="000E074E">
        <w:rPr>
          <w:lang w:val="it-IT"/>
        </w:rPr>
        <w:t xml:space="preserve">altro non </w:t>
      </w:r>
      <w:r w:rsidR="008D2AFA">
        <w:rPr>
          <w:lang w:val="it-IT"/>
        </w:rPr>
        <w:t>dovranno fare</w:t>
      </w:r>
      <w:r w:rsidR="003A6115" w:rsidRPr="000E074E">
        <w:rPr>
          <w:lang w:val="it-IT"/>
        </w:rPr>
        <w:t xml:space="preserve"> che </w:t>
      </w:r>
      <w:r w:rsidR="00015FEC" w:rsidRPr="000E074E">
        <w:rPr>
          <w:lang w:val="it-IT"/>
        </w:rPr>
        <w:t>verificare</w:t>
      </w:r>
      <w:r w:rsidR="008E084D" w:rsidRPr="000E074E">
        <w:rPr>
          <w:lang w:val="it-IT"/>
        </w:rPr>
        <w:t xml:space="preserve"> il</w:t>
      </w:r>
      <w:r w:rsidR="00015FEC" w:rsidRPr="000E074E">
        <w:rPr>
          <w:lang w:val="it-IT"/>
        </w:rPr>
        <w:t xml:space="preserve"> </w:t>
      </w:r>
      <w:r w:rsidR="001250BC" w:rsidRPr="000E074E">
        <w:rPr>
          <w:lang w:val="it-IT"/>
        </w:rPr>
        <w:t xml:space="preserve">rispetto dell’obiettivo di spesa netta </w:t>
      </w:r>
      <w:r w:rsidR="00015FEC" w:rsidRPr="000E074E">
        <w:rPr>
          <w:lang w:val="it-IT"/>
        </w:rPr>
        <w:t xml:space="preserve">e </w:t>
      </w:r>
      <w:r w:rsidR="00590180" w:rsidRPr="000E074E">
        <w:rPr>
          <w:lang w:val="it-IT"/>
        </w:rPr>
        <w:t>aggiornare eventualmente le misure per r</w:t>
      </w:r>
      <w:r w:rsidR="00860DE5" w:rsidRPr="000E074E">
        <w:rPr>
          <w:lang w:val="it-IT"/>
        </w:rPr>
        <w:t>aggiungerlo</w:t>
      </w:r>
      <w:r w:rsidR="00590180" w:rsidRPr="000E074E">
        <w:rPr>
          <w:lang w:val="it-IT"/>
        </w:rPr>
        <w:t>. Quindi, la composizione del bilancio pu</w:t>
      </w:r>
      <w:r w:rsidR="009F75AE" w:rsidRPr="000E074E">
        <w:rPr>
          <w:lang w:val="it-IT"/>
        </w:rPr>
        <w:t xml:space="preserve">ò variare annualmente – </w:t>
      </w:r>
      <w:r w:rsidR="00860DE5" w:rsidRPr="000E074E">
        <w:rPr>
          <w:lang w:val="it-IT"/>
        </w:rPr>
        <w:t xml:space="preserve">in coerenza però con </w:t>
      </w:r>
      <w:r w:rsidR="00A45700" w:rsidRPr="000E074E">
        <w:rPr>
          <w:lang w:val="it-IT"/>
        </w:rPr>
        <w:t xml:space="preserve">gli impegni su riforme e investimenti </w:t>
      </w:r>
      <w:r w:rsidR="00402FE5" w:rsidRPr="000E074E">
        <w:rPr>
          <w:lang w:val="it-IT"/>
        </w:rPr>
        <w:t>alla base del</w:t>
      </w:r>
      <w:r w:rsidR="00665F71" w:rsidRPr="000E074E">
        <w:rPr>
          <w:lang w:val="it-IT"/>
        </w:rPr>
        <w:t>l’</w:t>
      </w:r>
      <w:r w:rsidR="009D71A1">
        <w:rPr>
          <w:lang w:val="it-IT"/>
        </w:rPr>
        <w:t xml:space="preserve">eventuale richiesta di </w:t>
      </w:r>
      <w:r w:rsidR="00665F71" w:rsidRPr="000E074E">
        <w:rPr>
          <w:lang w:val="it-IT"/>
        </w:rPr>
        <w:t xml:space="preserve">allungamento del periodo di aggiustamento da </w:t>
      </w:r>
      <w:r w:rsidR="0000082B" w:rsidRPr="000E074E">
        <w:rPr>
          <w:lang w:val="it-IT"/>
        </w:rPr>
        <w:t xml:space="preserve">quattro </w:t>
      </w:r>
      <w:r w:rsidR="0000082B" w:rsidRPr="000E074E">
        <w:rPr>
          <w:lang w:val="it-IT"/>
        </w:rPr>
        <w:lastRenderedPageBreak/>
        <w:t>fino a sette anni –</w:t>
      </w:r>
      <w:r w:rsidR="00F5149D">
        <w:rPr>
          <w:lang w:val="it-IT"/>
        </w:rPr>
        <w:t xml:space="preserve"> ma</w:t>
      </w:r>
      <w:r w:rsidR="0000082B" w:rsidRPr="000E074E">
        <w:rPr>
          <w:lang w:val="it-IT"/>
        </w:rPr>
        <w:t xml:space="preserve"> non po</w:t>
      </w:r>
      <w:r w:rsidRPr="000E074E">
        <w:rPr>
          <w:lang w:val="it-IT"/>
        </w:rPr>
        <w:t>tran</w:t>
      </w:r>
      <w:r w:rsidR="0000082B" w:rsidRPr="000E074E">
        <w:rPr>
          <w:lang w:val="it-IT"/>
        </w:rPr>
        <w:t>no cambiare gli obiettivi</w:t>
      </w:r>
      <w:r w:rsidRPr="000E074E">
        <w:rPr>
          <w:lang w:val="it-IT"/>
        </w:rPr>
        <w:t xml:space="preserve"> aggregati</w:t>
      </w:r>
      <w:r w:rsidR="0000082B" w:rsidRPr="000E074E">
        <w:rPr>
          <w:lang w:val="it-IT"/>
        </w:rPr>
        <w:t xml:space="preserve"> di spesa netta</w:t>
      </w:r>
      <w:r w:rsidR="001D285C" w:rsidRPr="000E074E">
        <w:rPr>
          <w:lang w:val="it-IT"/>
        </w:rPr>
        <w:t>.</w:t>
      </w:r>
      <w:r w:rsidRPr="000E074E">
        <w:rPr>
          <w:lang w:val="it-IT"/>
        </w:rPr>
        <w:t xml:space="preserve"> Ogni deviazione annuale dagli obiettivi di spesa di 0.3% del Pil o cumulata di 0.6% del Pil</w:t>
      </w:r>
      <w:r w:rsidR="004D424C">
        <w:rPr>
          <w:lang w:val="it-IT"/>
        </w:rPr>
        <w:t xml:space="preserve"> potrà</w:t>
      </w:r>
      <w:r w:rsidRPr="000E074E">
        <w:rPr>
          <w:lang w:val="it-IT"/>
        </w:rPr>
        <w:t xml:space="preserve"> condurr</w:t>
      </w:r>
      <w:r w:rsidR="004D424C">
        <w:rPr>
          <w:lang w:val="it-IT"/>
        </w:rPr>
        <w:t>e</w:t>
      </w:r>
      <w:r w:rsidRPr="000E074E">
        <w:rPr>
          <w:lang w:val="it-IT"/>
        </w:rPr>
        <w:t xml:space="preserve"> all’apertura della procedura per deficit eccessivo</w:t>
      </w:r>
      <w:r w:rsidR="00A22D28">
        <w:rPr>
          <w:lang w:val="it-IT"/>
        </w:rPr>
        <w:t xml:space="preserve"> </w:t>
      </w:r>
      <w:r w:rsidR="00820DE5">
        <w:rPr>
          <w:lang w:val="it-IT"/>
        </w:rPr>
        <w:t>“</w:t>
      </w:r>
      <w:r w:rsidR="00A22D28">
        <w:rPr>
          <w:lang w:val="it-IT"/>
        </w:rPr>
        <w:t>basata sul debito</w:t>
      </w:r>
      <w:r w:rsidR="00820DE5">
        <w:rPr>
          <w:lang w:val="it-IT"/>
        </w:rPr>
        <w:t>”</w:t>
      </w:r>
      <w:r w:rsidRPr="000E074E">
        <w:rPr>
          <w:lang w:val="it-IT"/>
        </w:rPr>
        <w:t>.</w:t>
      </w:r>
    </w:p>
    <w:p w14:paraId="4FC3B214" w14:textId="1FE839B7" w:rsidR="00D94409" w:rsidRDefault="00D94409" w:rsidP="00CB3831">
      <w:pPr>
        <w:spacing w:before="120" w:after="120" w:line="480" w:lineRule="auto"/>
        <w:jc w:val="both"/>
        <w:rPr>
          <w:lang w:val="it-IT"/>
        </w:rPr>
      </w:pPr>
      <w:r w:rsidRPr="000E074E">
        <w:rPr>
          <w:lang w:val="it-IT"/>
        </w:rPr>
        <w:t>Essendo la spesa netta lo strumento chiave</w:t>
      </w:r>
      <w:r>
        <w:rPr>
          <w:lang w:val="it-IT"/>
        </w:rPr>
        <w:t xml:space="preserve"> della nuova </w:t>
      </w:r>
      <w:r w:rsidRPr="00887187">
        <w:rPr>
          <w:i/>
          <w:iCs/>
          <w:lang w:val="it-IT"/>
        </w:rPr>
        <w:t>governance</w:t>
      </w:r>
      <w:r>
        <w:rPr>
          <w:lang w:val="it-IT"/>
        </w:rPr>
        <w:t xml:space="preserve"> </w:t>
      </w:r>
      <w:r w:rsidR="00A22D28">
        <w:rPr>
          <w:lang w:val="it-IT"/>
        </w:rPr>
        <w:t>di bilancio</w:t>
      </w:r>
      <w:r w:rsidRPr="000E074E">
        <w:rPr>
          <w:lang w:val="it-IT"/>
        </w:rPr>
        <w:t>, è necessario riconciliare questo aggregato con l’indebitamento netto – che deve restare al di sotto del 3% del Pil per evitare che scatti la procedura per deficit eccessivo</w:t>
      </w:r>
      <w:r w:rsidR="00820DE5">
        <w:rPr>
          <w:lang w:val="it-IT"/>
        </w:rPr>
        <w:t xml:space="preserve"> “basata sul disavanzo”</w:t>
      </w:r>
      <w:r w:rsidRPr="000E074E">
        <w:rPr>
          <w:lang w:val="it-IT"/>
        </w:rPr>
        <w:t xml:space="preserve"> e, in termini strutturali, </w:t>
      </w:r>
      <w:r w:rsidR="002577ED">
        <w:rPr>
          <w:lang w:val="it-IT"/>
        </w:rPr>
        <w:t xml:space="preserve">deve raggiungere </w:t>
      </w:r>
      <w:r w:rsidR="0049250E">
        <w:rPr>
          <w:lang w:val="it-IT"/>
        </w:rPr>
        <w:t xml:space="preserve">il valore </w:t>
      </w:r>
      <w:r w:rsidRPr="000E074E">
        <w:rPr>
          <w:lang w:val="it-IT"/>
        </w:rPr>
        <w:t>di salvaguardia di 1.5% del Pil – e con l’andamento del rapporto fra debito e Pil.</w:t>
      </w:r>
    </w:p>
    <w:p w14:paraId="7EAF1D04" w14:textId="7864A5B3" w:rsidR="00BF65E0" w:rsidRPr="000E074E" w:rsidRDefault="008F2B60" w:rsidP="00CB3831">
      <w:pPr>
        <w:spacing w:before="120" w:after="120" w:line="480" w:lineRule="auto"/>
        <w:jc w:val="both"/>
        <w:rPr>
          <w:lang w:val="it-IT"/>
        </w:rPr>
      </w:pPr>
      <w:r w:rsidRPr="000E074E">
        <w:rPr>
          <w:lang w:val="it-IT"/>
        </w:rPr>
        <w:t xml:space="preserve">Per </w:t>
      </w:r>
      <w:r w:rsidR="00BA3DD5" w:rsidRPr="000E074E">
        <w:rPr>
          <w:lang w:val="it-IT"/>
        </w:rPr>
        <w:t xml:space="preserve">evitare di dover </w:t>
      </w:r>
      <w:r w:rsidR="00DC5D9C">
        <w:rPr>
          <w:lang w:val="it-IT"/>
        </w:rPr>
        <w:t>introdurre</w:t>
      </w:r>
      <w:r w:rsidR="00C6268B" w:rsidRPr="000E074E">
        <w:rPr>
          <w:lang w:val="it-IT"/>
        </w:rPr>
        <w:t xml:space="preserve"> </w:t>
      </w:r>
      <w:r w:rsidR="00DF6CB5" w:rsidRPr="000E074E">
        <w:rPr>
          <w:lang w:val="it-IT"/>
        </w:rPr>
        <w:t xml:space="preserve">misure </w:t>
      </w:r>
      <w:r w:rsidR="00DC5D9C">
        <w:rPr>
          <w:lang w:val="it-IT"/>
        </w:rPr>
        <w:t>di correzione</w:t>
      </w:r>
      <w:r w:rsidR="008E3243" w:rsidRPr="000E074E">
        <w:rPr>
          <w:lang w:val="it-IT"/>
        </w:rPr>
        <w:t xml:space="preserve"> </w:t>
      </w:r>
      <w:r w:rsidR="00A210A2">
        <w:rPr>
          <w:lang w:val="it-IT"/>
        </w:rPr>
        <w:t>che distor</w:t>
      </w:r>
      <w:r w:rsidR="00842177">
        <w:rPr>
          <w:lang w:val="it-IT"/>
        </w:rPr>
        <w:t>c</w:t>
      </w:r>
      <w:r w:rsidR="00A210A2">
        <w:rPr>
          <w:lang w:val="it-IT"/>
        </w:rPr>
        <w:t xml:space="preserve">ano </w:t>
      </w:r>
      <w:r w:rsidR="008E3243" w:rsidRPr="000E074E">
        <w:rPr>
          <w:lang w:val="it-IT"/>
        </w:rPr>
        <w:t>la prevedibilità dei conti</w:t>
      </w:r>
      <w:r w:rsidR="006B79F3" w:rsidRPr="000E074E">
        <w:rPr>
          <w:lang w:val="it-IT"/>
        </w:rPr>
        <w:t xml:space="preserve"> e</w:t>
      </w:r>
      <w:r w:rsidR="00A44601">
        <w:rPr>
          <w:lang w:val="it-IT"/>
        </w:rPr>
        <w:t xml:space="preserve"> </w:t>
      </w:r>
      <w:r w:rsidR="004D730C">
        <w:rPr>
          <w:lang w:val="it-IT"/>
        </w:rPr>
        <w:t>confondano</w:t>
      </w:r>
      <w:r w:rsidR="006B79F3" w:rsidRPr="000E074E">
        <w:rPr>
          <w:lang w:val="it-IT"/>
        </w:rPr>
        <w:t xml:space="preserve"> </w:t>
      </w:r>
      <w:r w:rsidR="00E90177" w:rsidRPr="000E074E">
        <w:rPr>
          <w:lang w:val="it-IT"/>
        </w:rPr>
        <w:t xml:space="preserve">le decisioni di </w:t>
      </w:r>
      <w:r w:rsidR="00876776" w:rsidRPr="000E074E">
        <w:rPr>
          <w:lang w:val="it-IT"/>
        </w:rPr>
        <w:t>imprese e consumatori</w:t>
      </w:r>
      <w:r w:rsidR="008E3243" w:rsidRPr="000E074E">
        <w:rPr>
          <w:lang w:val="it-IT"/>
        </w:rPr>
        <w:t>, sarà necessario dotarsi</w:t>
      </w:r>
      <w:r w:rsidR="00876776" w:rsidRPr="000E074E">
        <w:rPr>
          <w:lang w:val="it-IT"/>
        </w:rPr>
        <w:t xml:space="preserve"> </w:t>
      </w:r>
      <w:r w:rsidR="00655908">
        <w:rPr>
          <w:lang w:val="it-IT"/>
        </w:rPr>
        <w:t xml:space="preserve">di </w:t>
      </w:r>
      <w:r w:rsidR="00876776" w:rsidRPr="000E074E">
        <w:rPr>
          <w:lang w:val="it-IT"/>
        </w:rPr>
        <w:t>strumenti di</w:t>
      </w:r>
      <w:r w:rsidR="00EB1537" w:rsidRPr="000E074E">
        <w:rPr>
          <w:lang w:val="it-IT"/>
        </w:rPr>
        <w:t xml:space="preserve"> previsione </w:t>
      </w:r>
      <w:r w:rsidR="00606C13">
        <w:rPr>
          <w:lang w:val="it-IT"/>
        </w:rPr>
        <w:t xml:space="preserve">e di monitoraggio </w:t>
      </w:r>
      <w:r w:rsidR="00EB1537" w:rsidRPr="000E074E">
        <w:rPr>
          <w:lang w:val="it-IT"/>
        </w:rPr>
        <w:t xml:space="preserve">dei singoli fattori che </w:t>
      </w:r>
      <w:r w:rsidR="00AD47F6">
        <w:rPr>
          <w:lang w:val="it-IT"/>
        </w:rPr>
        <w:t xml:space="preserve">distinguono </w:t>
      </w:r>
      <w:r w:rsidR="0025282A">
        <w:rPr>
          <w:lang w:val="it-IT"/>
        </w:rPr>
        <w:t xml:space="preserve">la </w:t>
      </w:r>
      <w:r w:rsidR="00EB1537" w:rsidRPr="000E074E">
        <w:rPr>
          <w:lang w:val="it-IT"/>
        </w:rPr>
        <w:t>spesa netta</w:t>
      </w:r>
      <w:r w:rsidR="0025282A">
        <w:rPr>
          <w:lang w:val="it-IT"/>
        </w:rPr>
        <w:t xml:space="preserve"> dall</w:t>
      </w:r>
      <w:r w:rsidR="001326B7">
        <w:rPr>
          <w:lang w:val="it-IT"/>
        </w:rPr>
        <w:t>’i</w:t>
      </w:r>
      <w:r w:rsidR="0025282A">
        <w:rPr>
          <w:lang w:val="it-IT"/>
        </w:rPr>
        <w:t>ndebitamento netto.</w:t>
      </w:r>
      <w:r w:rsidR="00BF65E0" w:rsidRPr="000E074E">
        <w:rPr>
          <w:lang w:val="it-IT"/>
        </w:rPr>
        <w:t xml:space="preserve"> </w:t>
      </w:r>
      <w:r w:rsidR="00EC2F43" w:rsidRPr="000E074E">
        <w:rPr>
          <w:lang w:val="it-IT"/>
        </w:rPr>
        <w:t xml:space="preserve">Particolarmente delicata sarà </w:t>
      </w:r>
      <w:r w:rsidR="0042356E" w:rsidRPr="000E074E">
        <w:rPr>
          <w:lang w:val="it-IT"/>
        </w:rPr>
        <w:t xml:space="preserve">la quantificazione delle misure discrezionali dal lato delle entrate </w:t>
      </w:r>
      <w:r w:rsidR="006A2D19" w:rsidRPr="000E074E">
        <w:rPr>
          <w:lang w:val="it-IT"/>
        </w:rPr>
        <w:t>–</w:t>
      </w:r>
      <w:r w:rsidR="0042356E" w:rsidRPr="000E074E">
        <w:rPr>
          <w:lang w:val="it-IT"/>
        </w:rPr>
        <w:t xml:space="preserve"> </w:t>
      </w:r>
      <w:r w:rsidR="006A2D19" w:rsidRPr="000E074E">
        <w:rPr>
          <w:lang w:val="it-IT"/>
        </w:rPr>
        <w:t>compito analiticamente non facile.</w:t>
      </w:r>
      <w:r w:rsidR="009C3671" w:rsidRPr="000E074E">
        <w:rPr>
          <w:lang w:val="it-IT"/>
        </w:rPr>
        <w:t xml:space="preserve"> È</w:t>
      </w:r>
      <w:r w:rsidR="00AD054B" w:rsidRPr="000E074E">
        <w:rPr>
          <w:lang w:val="it-IT"/>
        </w:rPr>
        <w:t xml:space="preserve"> essenziale che</w:t>
      </w:r>
      <w:r w:rsidR="004F2B05" w:rsidRPr="000E074E">
        <w:rPr>
          <w:lang w:val="it-IT"/>
        </w:rPr>
        <w:t xml:space="preserve"> un</w:t>
      </w:r>
      <w:r w:rsidR="009A38DF" w:rsidRPr="000E074E">
        <w:rPr>
          <w:lang w:val="it-IT"/>
        </w:rPr>
        <w:t xml:space="preserve"> </w:t>
      </w:r>
      <w:r w:rsidR="000254C6" w:rsidRPr="000E074E">
        <w:rPr>
          <w:lang w:val="it-IT"/>
        </w:rPr>
        <w:t xml:space="preserve">gettito straordinario </w:t>
      </w:r>
      <w:r w:rsidR="005C456A" w:rsidRPr="000E074E">
        <w:rPr>
          <w:i/>
          <w:iCs/>
          <w:lang w:val="it-IT"/>
        </w:rPr>
        <w:t>una tantum</w:t>
      </w:r>
      <w:r w:rsidR="005C456A" w:rsidRPr="000E074E">
        <w:rPr>
          <w:lang w:val="it-IT"/>
        </w:rPr>
        <w:t xml:space="preserve"> non </w:t>
      </w:r>
      <w:r w:rsidR="00FA4E40" w:rsidRPr="000E074E">
        <w:rPr>
          <w:lang w:val="it-IT"/>
        </w:rPr>
        <w:t xml:space="preserve">sia interpretato come dovuto a misure discrezionali </w:t>
      </w:r>
      <w:r w:rsidR="004F2B05" w:rsidRPr="000E074E">
        <w:rPr>
          <w:lang w:val="it-IT"/>
        </w:rPr>
        <w:t>permettendo</w:t>
      </w:r>
      <w:r w:rsidR="00FA4E40" w:rsidRPr="000E074E">
        <w:rPr>
          <w:lang w:val="it-IT"/>
        </w:rPr>
        <w:t xml:space="preserve"> quindi</w:t>
      </w:r>
      <w:r w:rsidR="005C456A" w:rsidRPr="000E074E">
        <w:rPr>
          <w:lang w:val="it-IT"/>
        </w:rPr>
        <w:t xml:space="preserve"> </w:t>
      </w:r>
      <w:r w:rsidR="006C0E25" w:rsidRPr="000E074E">
        <w:rPr>
          <w:lang w:val="it-IT"/>
        </w:rPr>
        <w:t>aument</w:t>
      </w:r>
      <w:r w:rsidR="00334A86">
        <w:rPr>
          <w:lang w:val="it-IT"/>
        </w:rPr>
        <w:t>i</w:t>
      </w:r>
      <w:r w:rsidR="006C0E25" w:rsidRPr="000E074E">
        <w:rPr>
          <w:lang w:val="it-IT"/>
        </w:rPr>
        <w:t xml:space="preserve"> permanent</w:t>
      </w:r>
      <w:r w:rsidR="00334A86">
        <w:rPr>
          <w:lang w:val="it-IT"/>
        </w:rPr>
        <w:t>i</w:t>
      </w:r>
      <w:r w:rsidR="006F7B9E" w:rsidRPr="000E074E">
        <w:rPr>
          <w:lang w:val="it-IT"/>
        </w:rPr>
        <w:t xml:space="preserve"> della spesa</w:t>
      </w:r>
      <w:r w:rsidR="00426111" w:rsidRPr="000E074E">
        <w:rPr>
          <w:lang w:val="it-IT"/>
        </w:rPr>
        <w:t xml:space="preserve">. </w:t>
      </w:r>
      <w:r w:rsidR="003C2D29" w:rsidRPr="000E074E">
        <w:rPr>
          <w:lang w:val="it-IT"/>
        </w:rPr>
        <w:t xml:space="preserve">Ugualmente, bisogna evitare che riduzioni discrezionali delle imposte siano </w:t>
      </w:r>
      <w:r w:rsidR="0023399D">
        <w:rPr>
          <w:lang w:val="it-IT"/>
        </w:rPr>
        <w:t>scambiate per</w:t>
      </w:r>
      <w:r w:rsidR="007612C0" w:rsidRPr="000E074E">
        <w:rPr>
          <w:lang w:val="it-IT"/>
        </w:rPr>
        <w:t xml:space="preserve"> cadute cicliche del gettito</w:t>
      </w:r>
      <w:r w:rsidR="00691270" w:rsidRPr="000E074E">
        <w:rPr>
          <w:lang w:val="it-IT"/>
        </w:rPr>
        <w:t xml:space="preserve">. </w:t>
      </w:r>
      <w:r w:rsidR="00426111" w:rsidRPr="000E074E">
        <w:rPr>
          <w:lang w:val="it-IT"/>
        </w:rPr>
        <w:t xml:space="preserve">Questo è importante sia per la pubblica amministrazione centrale che </w:t>
      </w:r>
      <w:r w:rsidR="006F0101" w:rsidRPr="000E074E">
        <w:rPr>
          <w:lang w:val="it-IT"/>
        </w:rPr>
        <w:t xml:space="preserve">per gli enti decentrati. </w:t>
      </w:r>
      <w:r w:rsidR="00691270" w:rsidRPr="000E074E">
        <w:rPr>
          <w:lang w:val="it-IT"/>
        </w:rPr>
        <w:t xml:space="preserve">Ci si può attendere che la Commissione vigilerà a che </w:t>
      </w:r>
      <w:r w:rsidR="00296E0A">
        <w:rPr>
          <w:lang w:val="it-IT"/>
        </w:rPr>
        <w:t xml:space="preserve">la classificazione delle variazioni del gettito </w:t>
      </w:r>
      <w:r w:rsidR="0057611D">
        <w:rPr>
          <w:lang w:val="it-IT"/>
        </w:rPr>
        <w:t>sia corretta</w:t>
      </w:r>
      <w:r w:rsidR="0076200A" w:rsidRPr="000E074E">
        <w:rPr>
          <w:lang w:val="it-IT"/>
        </w:rPr>
        <w:t>.</w:t>
      </w:r>
    </w:p>
    <w:p w14:paraId="09A96634" w14:textId="6E4D2AB4" w:rsidR="008F2B60" w:rsidRPr="000E074E" w:rsidRDefault="00C66D88" w:rsidP="00CB3831">
      <w:pPr>
        <w:spacing w:before="120" w:after="120" w:line="480" w:lineRule="auto"/>
        <w:jc w:val="both"/>
        <w:rPr>
          <w:lang w:val="it-IT"/>
        </w:rPr>
      </w:pPr>
      <w:r w:rsidRPr="000E074E">
        <w:rPr>
          <w:lang w:val="it-IT"/>
        </w:rPr>
        <w:t xml:space="preserve">La discrepanza fra </w:t>
      </w:r>
      <w:r w:rsidR="00672A91">
        <w:rPr>
          <w:lang w:val="it-IT"/>
        </w:rPr>
        <w:t xml:space="preserve">dinamica del debito e indebitamento netto </w:t>
      </w:r>
      <w:r w:rsidR="002D3F37" w:rsidRPr="000E074E">
        <w:rPr>
          <w:lang w:val="it-IT"/>
        </w:rPr>
        <w:t>è il cosiddetto ag</w:t>
      </w:r>
      <w:r w:rsidR="000A252B" w:rsidRPr="000E074E">
        <w:rPr>
          <w:lang w:val="it-IT"/>
        </w:rPr>
        <w:t xml:space="preserve">giustamento fra </w:t>
      </w:r>
      <w:r w:rsidR="0023399D">
        <w:rPr>
          <w:lang w:val="it-IT"/>
        </w:rPr>
        <w:t xml:space="preserve">variazioni dello </w:t>
      </w:r>
      <w:r w:rsidR="000A252B" w:rsidRPr="000E074E">
        <w:rPr>
          <w:lang w:val="it-IT"/>
        </w:rPr>
        <w:t>stock (</w:t>
      </w:r>
      <w:r w:rsidR="00D0032C">
        <w:rPr>
          <w:lang w:val="it-IT"/>
        </w:rPr>
        <w:t xml:space="preserve">variazioni del </w:t>
      </w:r>
      <w:r w:rsidR="000A252B" w:rsidRPr="000E074E">
        <w:rPr>
          <w:lang w:val="it-IT"/>
        </w:rPr>
        <w:t>livello del debito espresso in termini di cassa) e flussi (l’indebitamento netto espresso in termini di comp</w:t>
      </w:r>
      <w:r w:rsidR="00AC4AE1">
        <w:rPr>
          <w:lang w:val="it-IT"/>
        </w:rPr>
        <w:t>eten</w:t>
      </w:r>
      <w:r w:rsidR="000A252B" w:rsidRPr="000E074E">
        <w:rPr>
          <w:lang w:val="it-IT"/>
        </w:rPr>
        <w:t xml:space="preserve">za). </w:t>
      </w:r>
      <w:r w:rsidR="00847460" w:rsidRPr="000E074E">
        <w:rPr>
          <w:lang w:val="it-IT"/>
        </w:rPr>
        <w:t xml:space="preserve">Mentre in </w:t>
      </w:r>
      <w:r w:rsidR="009D65CB" w:rsidRPr="000E074E">
        <w:rPr>
          <w:lang w:val="it-IT"/>
        </w:rPr>
        <w:t>circostanze normali, tale discrepanza tende ad essere li</w:t>
      </w:r>
      <w:r w:rsidR="00FF7024" w:rsidRPr="000E074E">
        <w:rPr>
          <w:lang w:val="it-IT"/>
        </w:rPr>
        <w:t xml:space="preserve">mitata e si annulla nel tempo, </w:t>
      </w:r>
      <w:r w:rsidR="00467386" w:rsidRPr="000E074E">
        <w:rPr>
          <w:lang w:val="it-IT"/>
        </w:rPr>
        <w:t xml:space="preserve">nei prossimi anni </w:t>
      </w:r>
      <w:r w:rsidR="00FF7024" w:rsidRPr="000E074E">
        <w:rPr>
          <w:lang w:val="it-IT"/>
        </w:rPr>
        <w:t xml:space="preserve">l’impatto del </w:t>
      </w:r>
      <w:r w:rsidR="0003399F">
        <w:rPr>
          <w:lang w:val="it-IT"/>
        </w:rPr>
        <w:t>S</w:t>
      </w:r>
      <w:r w:rsidR="00FF7024" w:rsidRPr="000E074E">
        <w:rPr>
          <w:lang w:val="it-IT"/>
        </w:rPr>
        <w:t xml:space="preserve">uperbonus </w:t>
      </w:r>
      <w:r w:rsidR="00EE5552">
        <w:rPr>
          <w:lang w:val="it-IT"/>
        </w:rPr>
        <w:t xml:space="preserve">la </w:t>
      </w:r>
      <w:r w:rsidR="00907A87" w:rsidRPr="000E074E">
        <w:rPr>
          <w:lang w:val="it-IT"/>
        </w:rPr>
        <w:t xml:space="preserve">condurrà presumibilmente </w:t>
      </w:r>
      <w:r w:rsidR="00EE5552">
        <w:rPr>
          <w:lang w:val="it-IT"/>
        </w:rPr>
        <w:t>su</w:t>
      </w:r>
      <w:r w:rsidR="00907A87" w:rsidRPr="000E074E">
        <w:rPr>
          <w:lang w:val="it-IT"/>
        </w:rPr>
        <w:t xml:space="preserve"> valori importanti</w:t>
      </w:r>
      <w:r w:rsidR="00DC1C47" w:rsidRPr="000E074E">
        <w:rPr>
          <w:lang w:val="it-IT"/>
        </w:rPr>
        <w:t xml:space="preserve">: </w:t>
      </w:r>
      <w:r w:rsidR="00807AFB">
        <w:rPr>
          <w:lang w:val="it-IT"/>
        </w:rPr>
        <w:t xml:space="preserve">negli </w:t>
      </w:r>
      <w:r w:rsidR="00DC1C47" w:rsidRPr="000E074E">
        <w:rPr>
          <w:lang w:val="it-IT"/>
        </w:rPr>
        <w:t>scors</w:t>
      </w:r>
      <w:r w:rsidR="009A3C59">
        <w:rPr>
          <w:lang w:val="it-IT"/>
        </w:rPr>
        <w:t>i</w:t>
      </w:r>
      <w:r w:rsidR="00DC1C47" w:rsidRPr="000E074E">
        <w:rPr>
          <w:lang w:val="it-IT"/>
        </w:rPr>
        <w:t xml:space="preserve"> ann</w:t>
      </w:r>
      <w:r w:rsidR="009A3C59">
        <w:rPr>
          <w:lang w:val="it-IT"/>
        </w:rPr>
        <w:t>i</w:t>
      </w:r>
      <w:r w:rsidR="00DC1C47" w:rsidRPr="000E074E">
        <w:rPr>
          <w:lang w:val="it-IT"/>
        </w:rPr>
        <w:t xml:space="preserve">, </w:t>
      </w:r>
      <w:r w:rsidR="00F55472">
        <w:rPr>
          <w:lang w:val="it-IT"/>
        </w:rPr>
        <w:t xml:space="preserve">i crediti </w:t>
      </w:r>
      <w:r w:rsidR="0003399F">
        <w:rPr>
          <w:lang w:val="it-IT"/>
        </w:rPr>
        <w:t xml:space="preserve">per il Superbonus </w:t>
      </w:r>
      <w:r w:rsidR="001145B7">
        <w:rPr>
          <w:lang w:val="it-IT"/>
        </w:rPr>
        <w:t xml:space="preserve">erano considerati </w:t>
      </w:r>
      <w:r w:rsidR="001145B7">
        <w:rPr>
          <w:lang w:val="it-IT"/>
        </w:rPr>
        <w:lastRenderedPageBreak/>
        <w:t xml:space="preserve">“pagabili” (cioè contabilizzati in deficit </w:t>
      </w:r>
      <w:r w:rsidR="001858A0">
        <w:rPr>
          <w:lang w:val="it-IT"/>
        </w:rPr>
        <w:t>alla data della formazione, indipendentemente dall’effettivo pa</w:t>
      </w:r>
      <w:r w:rsidR="009A3C59">
        <w:rPr>
          <w:lang w:val="it-IT"/>
        </w:rPr>
        <w:t>gamento)</w:t>
      </w:r>
      <w:r w:rsidR="00AD16A7">
        <w:rPr>
          <w:lang w:val="it-IT"/>
        </w:rPr>
        <w:t>. Questa classificazione</w:t>
      </w:r>
      <w:r w:rsidR="0003399F">
        <w:rPr>
          <w:lang w:val="it-IT"/>
        </w:rPr>
        <w:t xml:space="preserve"> </w:t>
      </w:r>
      <w:r w:rsidR="00C82BC5" w:rsidRPr="000E074E">
        <w:rPr>
          <w:lang w:val="it-IT"/>
        </w:rPr>
        <w:t xml:space="preserve">darà luogo </w:t>
      </w:r>
      <w:r w:rsidR="009E5EC7">
        <w:rPr>
          <w:lang w:val="it-IT"/>
        </w:rPr>
        <w:t xml:space="preserve">nel futuro </w:t>
      </w:r>
      <w:r w:rsidR="00C82BC5" w:rsidRPr="000E074E">
        <w:rPr>
          <w:lang w:val="it-IT"/>
        </w:rPr>
        <w:t>a valori</w:t>
      </w:r>
      <w:r w:rsidR="00052446" w:rsidRPr="000E074E">
        <w:rPr>
          <w:lang w:val="it-IT"/>
        </w:rPr>
        <w:t xml:space="preserve"> rilevanti e</w:t>
      </w:r>
      <w:r w:rsidR="00C82BC5" w:rsidRPr="000E074E">
        <w:rPr>
          <w:lang w:val="it-IT"/>
        </w:rPr>
        <w:t xml:space="preserve"> positivi </w:t>
      </w:r>
      <w:r w:rsidR="00052446" w:rsidRPr="000E074E">
        <w:rPr>
          <w:lang w:val="it-IT"/>
        </w:rPr>
        <w:t>dell’aggiustamento fra stock e flussi</w:t>
      </w:r>
      <w:r w:rsidR="00642A15">
        <w:rPr>
          <w:lang w:val="it-IT"/>
        </w:rPr>
        <w:t xml:space="preserve">, il che </w:t>
      </w:r>
      <w:r w:rsidR="00A053FD" w:rsidRPr="000E074E">
        <w:rPr>
          <w:lang w:val="it-IT"/>
        </w:rPr>
        <w:t xml:space="preserve">significa </w:t>
      </w:r>
      <w:r w:rsidR="00DA1A1B">
        <w:rPr>
          <w:lang w:val="it-IT"/>
        </w:rPr>
        <w:t>una</w:t>
      </w:r>
      <w:r w:rsidR="00101060">
        <w:rPr>
          <w:lang w:val="it-IT"/>
        </w:rPr>
        <w:t xml:space="preserve"> crescita de</w:t>
      </w:r>
      <w:r w:rsidR="00A053FD" w:rsidRPr="000E074E">
        <w:rPr>
          <w:lang w:val="it-IT"/>
        </w:rPr>
        <w:t>l debito</w:t>
      </w:r>
      <w:r w:rsidR="00767C33">
        <w:rPr>
          <w:lang w:val="it-IT"/>
        </w:rPr>
        <w:t xml:space="preserve"> </w:t>
      </w:r>
      <w:r w:rsidR="00A053FD" w:rsidRPr="000E074E">
        <w:rPr>
          <w:lang w:val="it-IT"/>
        </w:rPr>
        <w:t xml:space="preserve">ben più </w:t>
      </w:r>
      <w:r w:rsidR="00101060">
        <w:rPr>
          <w:lang w:val="it-IT"/>
        </w:rPr>
        <w:t xml:space="preserve">alta </w:t>
      </w:r>
      <w:r w:rsidR="00A053FD" w:rsidRPr="000E074E">
        <w:rPr>
          <w:lang w:val="it-IT"/>
        </w:rPr>
        <w:t>di quell</w:t>
      </w:r>
      <w:r w:rsidR="00101060">
        <w:rPr>
          <w:lang w:val="it-IT"/>
        </w:rPr>
        <w:t>a</w:t>
      </w:r>
      <w:r w:rsidR="00A053FD" w:rsidRPr="000E074E">
        <w:rPr>
          <w:lang w:val="it-IT"/>
        </w:rPr>
        <w:t xml:space="preserve"> d</w:t>
      </w:r>
      <w:r w:rsidR="008E489C">
        <w:rPr>
          <w:lang w:val="it-IT"/>
        </w:rPr>
        <w:t>ovuta a</w:t>
      </w:r>
      <w:r w:rsidR="0085542A" w:rsidRPr="000E074E">
        <w:rPr>
          <w:lang w:val="it-IT"/>
        </w:rPr>
        <w:t>ll’indebitamento netto.</w:t>
      </w:r>
      <w:r w:rsidR="009E5EC7">
        <w:rPr>
          <w:lang w:val="it-IT"/>
        </w:rPr>
        <w:t xml:space="preserve"> </w:t>
      </w:r>
      <w:r w:rsidR="009E5EC7" w:rsidRPr="00F30D8F">
        <w:rPr>
          <w:lang w:val="it-IT"/>
        </w:rPr>
        <w:t>La classificazione a partire dal 2024  dei crediti come “non pagabili”,</w:t>
      </w:r>
      <w:r w:rsidR="00F30D8F" w:rsidRPr="00350938">
        <w:rPr>
          <w:rStyle w:val="Titolo1Carattere"/>
          <w:rFonts w:asciiTheme="minorHAnsi" w:hAnsiTheme="minorHAnsi"/>
          <w:sz w:val="24"/>
          <w:szCs w:val="24"/>
          <w:lang w:val="it-IT"/>
        </w:rPr>
        <w:t xml:space="preserve"> </w:t>
      </w:r>
      <w:r w:rsidR="00F30D8F" w:rsidRPr="00350938">
        <w:rPr>
          <w:rStyle w:val="cf01"/>
          <w:rFonts w:asciiTheme="minorHAnsi" w:hAnsiTheme="minorHAnsi"/>
          <w:sz w:val="24"/>
          <w:szCs w:val="24"/>
          <w:lang w:val="it-IT"/>
        </w:rPr>
        <w:t>allineer</w:t>
      </w:r>
      <w:r w:rsidR="005605C8" w:rsidRPr="005605C8">
        <w:rPr>
          <w:rStyle w:val="cf01"/>
          <w:rFonts w:asciiTheme="minorHAnsi" w:hAnsiTheme="minorHAnsi"/>
          <w:sz w:val="24"/>
          <w:szCs w:val="24"/>
          <w:lang w:val="it-IT"/>
        </w:rPr>
        <w:t xml:space="preserve">à </w:t>
      </w:r>
      <w:r w:rsidR="005605C8">
        <w:rPr>
          <w:rStyle w:val="cf01"/>
          <w:rFonts w:asciiTheme="minorHAnsi" w:hAnsiTheme="minorHAnsi"/>
          <w:sz w:val="24"/>
          <w:szCs w:val="24"/>
          <w:lang w:val="it-IT"/>
        </w:rPr>
        <w:t>il</w:t>
      </w:r>
      <w:r w:rsidR="00F30D8F" w:rsidRPr="00350938">
        <w:rPr>
          <w:rStyle w:val="cf01"/>
          <w:rFonts w:asciiTheme="minorHAnsi" w:hAnsiTheme="minorHAnsi"/>
          <w:sz w:val="24"/>
          <w:szCs w:val="24"/>
          <w:lang w:val="it-IT"/>
        </w:rPr>
        <w:t xml:space="preserve"> trattamento statistico tra deficit e debito in quanto impatter</w:t>
      </w:r>
      <w:r w:rsidR="005605C8" w:rsidRPr="00DA1A1B">
        <w:rPr>
          <w:rStyle w:val="cf01"/>
          <w:rFonts w:asciiTheme="minorHAnsi" w:hAnsiTheme="minorHAnsi"/>
          <w:sz w:val="24"/>
          <w:szCs w:val="24"/>
          <w:lang w:val="it-IT"/>
        </w:rPr>
        <w:t>à</w:t>
      </w:r>
      <w:r w:rsidR="00F30D8F" w:rsidRPr="00350938">
        <w:rPr>
          <w:rStyle w:val="cf01"/>
          <w:rFonts w:asciiTheme="minorHAnsi" w:hAnsiTheme="minorHAnsi"/>
          <w:sz w:val="24"/>
          <w:szCs w:val="24"/>
          <w:lang w:val="it-IT"/>
        </w:rPr>
        <w:t xml:space="preserve"> il deficit solo al momento in cui il credito viene effettivamente riscosso</w:t>
      </w:r>
      <w:r w:rsidR="00F30D8F" w:rsidRPr="00F30D8F">
        <w:rPr>
          <w:rStyle w:val="cf01"/>
          <w:rFonts w:asciiTheme="minorHAnsi" w:hAnsiTheme="minorHAnsi"/>
          <w:sz w:val="24"/>
          <w:szCs w:val="24"/>
          <w:lang w:val="it-IT"/>
        </w:rPr>
        <w:t>.</w:t>
      </w:r>
      <w:r w:rsidR="009E5EC7" w:rsidRPr="00F30D8F">
        <w:rPr>
          <w:lang w:val="it-IT"/>
        </w:rPr>
        <w:t xml:space="preserve"> </w:t>
      </w:r>
      <w:r w:rsidR="0085542A" w:rsidRPr="00F30D8F">
        <w:rPr>
          <w:lang w:val="it-IT"/>
        </w:rPr>
        <w:t xml:space="preserve"> Anche per guidare </w:t>
      </w:r>
      <w:r w:rsidR="00D276FB" w:rsidRPr="00F30D8F">
        <w:rPr>
          <w:lang w:val="it-IT"/>
        </w:rPr>
        <w:t>i</w:t>
      </w:r>
      <w:r w:rsidR="00232F4A" w:rsidRPr="00F30D8F">
        <w:rPr>
          <w:lang w:val="it-IT"/>
        </w:rPr>
        <w:t xml:space="preserve"> risparmiatori ed i mercati, sarà utile </w:t>
      </w:r>
      <w:r w:rsidR="00D276FB" w:rsidRPr="00F30D8F">
        <w:rPr>
          <w:lang w:val="it-IT"/>
        </w:rPr>
        <w:t>mettere a punto procedur</w:t>
      </w:r>
      <w:r w:rsidR="00D276FB" w:rsidRPr="000E074E">
        <w:rPr>
          <w:lang w:val="it-IT"/>
        </w:rPr>
        <w:t>e di monitoraggio</w:t>
      </w:r>
      <w:r w:rsidR="007C10C2" w:rsidRPr="000E074E">
        <w:rPr>
          <w:lang w:val="it-IT"/>
        </w:rPr>
        <w:t xml:space="preserve"> e comunicazione</w:t>
      </w:r>
      <w:r w:rsidR="008E489C">
        <w:rPr>
          <w:lang w:val="it-IT"/>
        </w:rPr>
        <w:t xml:space="preserve"> sia</w:t>
      </w:r>
      <w:r w:rsidR="006022A9" w:rsidRPr="000E074E">
        <w:rPr>
          <w:lang w:val="it-IT"/>
        </w:rPr>
        <w:t xml:space="preserve"> </w:t>
      </w:r>
      <w:r w:rsidR="007513FA" w:rsidRPr="000E074E">
        <w:rPr>
          <w:i/>
          <w:iCs/>
          <w:lang w:val="it-IT"/>
        </w:rPr>
        <w:t>ex ante</w:t>
      </w:r>
      <w:r w:rsidR="007513FA" w:rsidRPr="000E074E">
        <w:rPr>
          <w:lang w:val="it-IT"/>
        </w:rPr>
        <w:t xml:space="preserve"> </w:t>
      </w:r>
      <w:r w:rsidR="008E489C">
        <w:rPr>
          <w:lang w:val="it-IT"/>
        </w:rPr>
        <w:t>che</w:t>
      </w:r>
      <w:r w:rsidR="007513FA" w:rsidRPr="000E074E">
        <w:rPr>
          <w:lang w:val="it-IT"/>
        </w:rPr>
        <w:t xml:space="preserve"> </w:t>
      </w:r>
      <w:r w:rsidR="007513FA" w:rsidRPr="000E074E">
        <w:rPr>
          <w:i/>
          <w:iCs/>
          <w:lang w:val="it-IT"/>
        </w:rPr>
        <w:t>ex post</w:t>
      </w:r>
      <w:r w:rsidR="007513FA" w:rsidRPr="000E074E">
        <w:rPr>
          <w:lang w:val="it-IT"/>
        </w:rPr>
        <w:t>.</w:t>
      </w:r>
    </w:p>
    <w:p w14:paraId="5F23C70F" w14:textId="1E91BA83" w:rsidR="00B84104" w:rsidRDefault="004D7AD3" w:rsidP="00CB3831">
      <w:pPr>
        <w:spacing w:before="120" w:after="120" w:line="480" w:lineRule="auto"/>
        <w:jc w:val="both"/>
        <w:rPr>
          <w:lang w:val="it-IT"/>
        </w:rPr>
      </w:pPr>
      <w:r w:rsidRPr="000E074E">
        <w:rPr>
          <w:lang w:val="it-IT"/>
        </w:rPr>
        <w:t>Se implementat</w:t>
      </w:r>
      <w:r w:rsidR="00D929EB" w:rsidRPr="000E074E">
        <w:rPr>
          <w:lang w:val="it-IT"/>
        </w:rPr>
        <w:t>o</w:t>
      </w:r>
      <w:r w:rsidRPr="000E074E">
        <w:rPr>
          <w:lang w:val="it-IT"/>
        </w:rPr>
        <w:t xml:space="preserve"> nello spirito della nuova legislazione, il </w:t>
      </w:r>
      <w:r w:rsidRPr="0055345D">
        <w:rPr>
          <w:i/>
          <w:iCs/>
          <w:lang w:val="it-IT"/>
        </w:rPr>
        <w:t>focus</w:t>
      </w:r>
      <w:r w:rsidRPr="000E074E">
        <w:rPr>
          <w:lang w:val="it-IT"/>
        </w:rPr>
        <w:t xml:space="preserve"> sul percorso pluriennale della spesa netta sarà il più importante contributo alla semplificazione e alla </w:t>
      </w:r>
      <w:r w:rsidR="00E250FF">
        <w:rPr>
          <w:lang w:val="it-IT"/>
        </w:rPr>
        <w:t>“</w:t>
      </w:r>
      <w:r w:rsidRPr="000E074E">
        <w:rPr>
          <w:lang w:val="it-IT"/>
        </w:rPr>
        <w:t>leggibilità</w:t>
      </w:r>
      <w:r w:rsidR="00E250FF">
        <w:rPr>
          <w:lang w:val="it-IT"/>
        </w:rPr>
        <w:t>”</w:t>
      </w:r>
      <w:r w:rsidRPr="000E074E">
        <w:rPr>
          <w:lang w:val="it-IT"/>
        </w:rPr>
        <w:t xml:space="preserve"> delle nuove regole comuni.</w:t>
      </w:r>
      <w:r w:rsidR="007352EE" w:rsidRPr="000E074E">
        <w:rPr>
          <w:lang w:val="it-IT"/>
        </w:rPr>
        <w:t xml:space="preserve"> </w:t>
      </w:r>
      <w:r w:rsidR="00DB77F0" w:rsidRPr="000E074E">
        <w:rPr>
          <w:lang w:val="it-IT"/>
        </w:rPr>
        <w:t xml:space="preserve">L’orientamento a </w:t>
      </w:r>
      <w:r w:rsidR="007352EE" w:rsidRPr="000E074E">
        <w:rPr>
          <w:lang w:val="it-IT"/>
        </w:rPr>
        <w:t xml:space="preserve">medio termine della politica </w:t>
      </w:r>
      <w:r w:rsidR="00E75506">
        <w:rPr>
          <w:lang w:val="it-IT"/>
        </w:rPr>
        <w:t>di bilancio</w:t>
      </w:r>
      <w:r w:rsidR="007352EE" w:rsidRPr="000E074E">
        <w:rPr>
          <w:lang w:val="it-IT"/>
        </w:rPr>
        <w:t xml:space="preserve"> è formalmente presente anche nella programmazione attuale, ma è stat</w:t>
      </w:r>
      <w:r w:rsidR="00CD35DC" w:rsidRPr="000E074E">
        <w:rPr>
          <w:lang w:val="it-IT"/>
        </w:rPr>
        <w:t>o</w:t>
      </w:r>
      <w:r w:rsidR="007352EE" w:rsidRPr="000E074E">
        <w:rPr>
          <w:lang w:val="it-IT"/>
        </w:rPr>
        <w:t xml:space="preserve"> sistematicament</w:t>
      </w:r>
      <w:r w:rsidR="00CD35DC" w:rsidRPr="000E074E">
        <w:rPr>
          <w:lang w:val="it-IT"/>
        </w:rPr>
        <w:t>e</w:t>
      </w:r>
      <w:r w:rsidR="007352EE" w:rsidRPr="000E074E">
        <w:rPr>
          <w:lang w:val="it-IT"/>
        </w:rPr>
        <w:t xml:space="preserve"> disattes</w:t>
      </w:r>
      <w:r w:rsidR="00CD35DC" w:rsidRPr="000E074E">
        <w:rPr>
          <w:lang w:val="it-IT"/>
        </w:rPr>
        <w:t>o</w:t>
      </w:r>
      <w:r w:rsidR="00D54D54" w:rsidRPr="000E074E">
        <w:rPr>
          <w:lang w:val="it-IT"/>
        </w:rPr>
        <w:t xml:space="preserve">. </w:t>
      </w:r>
      <w:r w:rsidR="003C55EE" w:rsidRPr="000E074E">
        <w:rPr>
          <w:lang w:val="it-IT"/>
        </w:rPr>
        <w:t>Evitare</w:t>
      </w:r>
      <w:r w:rsidR="00D54D54" w:rsidRPr="000E074E">
        <w:rPr>
          <w:lang w:val="it-IT"/>
        </w:rPr>
        <w:t xml:space="preserve"> che</w:t>
      </w:r>
      <w:r w:rsidR="007352EE" w:rsidRPr="000E074E">
        <w:rPr>
          <w:lang w:val="it-IT"/>
        </w:rPr>
        <w:t xml:space="preserve"> gli obiettivi di deficit</w:t>
      </w:r>
      <w:r w:rsidR="003C55EE" w:rsidRPr="000E074E">
        <w:rPr>
          <w:lang w:val="it-IT"/>
        </w:rPr>
        <w:t xml:space="preserve"> siano</w:t>
      </w:r>
      <w:r w:rsidR="007352EE" w:rsidRPr="000E074E">
        <w:rPr>
          <w:lang w:val="it-IT"/>
        </w:rPr>
        <w:t xml:space="preserve"> rivisti ogni anno rende</w:t>
      </w:r>
      <w:r w:rsidR="00B954E9">
        <w:rPr>
          <w:lang w:val="it-IT"/>
        </w:rPr>
        <w:t>ndo</w:t>
      </w:r>
      <w:r w:rsidR="007352EE" w:rsidRPr="000E074E">
        <w:rPr>
          <w:lang w:val="it-IT"/>
        </w:rPr>
        <w:t xml:space="preserve"> </w:t>
      </w:r>
      <w:r w:rsidR="000B019D">
        <w:rPr>
          <w:lang w:val="it-IT"/>
        </w:rPr>
        <w:t xml:space="preserve">quindi </w:t>
      </w:r>
      <w:r w:rsidR="007352EE" w:rsidRPr="000E074E">
        <w:rPr>
          <w:lang w:val="it-IT"/>
        </w:rPr>
        <w:t xml:space="preserve">esplicite le preferenze </w:t>
      </w:r>
      <w:r w:rsidR="00670040">
        <w:rPr>
          <w:lang w:val="it-IT"/>
        </w:rPr>
        <w:t>di bilancio</w:t>
      </w:r>
      <w:r w:rsidR="007352EE" w:rsidRPr="000E074E">
        <w:rPr>
          <w:lang w:val="it-IT"/>
        </w:rPr>
        <w:t xml:space="preserve"> per tutto il periodo della legislatura contribuirà alla trasparenza e al dibattito democratico. </w:t>
      </w:r>
    </w:p>
    <w:p w14:paraId="4CB1A321" w14:textId="77777777" w:rsidR="00B954E9" w:rsidRDefault="00B954E9" w:rsidP="00CB3831">
      <w:pPr>
        <w:spacing w:before="120" w:after="120" w:line="480" w:lineRule="auto"/>
        <w:jc w:val="both"/>
        <w:rPr>
          <w:lang w:val="it-IT"/>
        </w:rPr>
      </w:pPr>
    </w:p>
    <w:p w14:paraId="018CB44F" w14:textId="62609C2D" w:rsidR="00244C5A" w:rsidRPr="00244C5A" w:rsidRDefault="00244C5A" w:rsidP="00CB3831">
      <w:pPr>
        <w:spacing w:before="120" w:after="120" w:line="480" w:lineRule="auto"/>
        <w:jc w:val="both"/>
        <w:rPr>
          <w:lang w:val="it-IT"/>
        </w:rPr>
      </w:pPr>
      <w:r>
        <w:rPr>
          <w:lang w:val="it-IT"/>
        </w:rPr>
        <w:t xml:space="preserve">Roma, </w:t>
      </w:r>
      <w:r w:rsidR="00B264F7">
        <w:rPr>
          <w:lang w:val="it-IT"/>
        </w:rPr>
        <w:t>21 maggio 2024</w:t>
      </w:r>
    </w:p>
    <w:sectPr w:rsidR="00244C5A" w:rsidRPr="00244C5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BBDA1" w14:textId="77777777" w:rsidR="00AF134F" w:rsidRDefault="00AF134F" w:rsidP="00CB3831">
      <w:pPr>
        <w:spacing w:after="0" w:line="240" w:lineRule="auto"/>
      </w:pPr>
      <w:r>
        <w:separator/>
      </w:r>
    </w:p>
  </w:endnote>
  <w:endnote w:type="continuationSeparator" w:id="0">
    <w:p w14:paraId="4EF9D3E5" w14:textId="77777777" w:rsidR="00AF134F" w:rsidRDefault="00AF134F" w:rsidP="00CB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53176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4B1CC" w14:textId="4E4C6203" w:rsidR="00CB3831" w:rsidRDefault="00CB3831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5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1701AF" w14:textId="77777777" w:rsidR="00CB3831" w:rsidRDefault="00CB38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17E07" w14:textId="77777777" w:rsidR="00AF134F" w:rsidRDefault="00AF134F" w:rsidP="00CB3831">
      <w:pPr>
        <w:spacing w:after="0" w:line="240" w:lineRule="auto"/>
      </w:pPr>
      <w:r>
        <w:separator/>
      </w:r>
    </w:p>
  </w:footnote>
  <w:footnote w:type="continuationSeparator" w:id="0">
    <w:p w14:paraId="5521AC4A" w14:textId="77777777" w:rsidR="00AF134F" w:rsidRDefault="00AF134F" w:rsidP="00CB3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4248E"/>
    <w:multiLevelType w:val="hybridMultilevel"/>
    <w:tmpl w:val="26CA6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663B2"/>
    <w:multiLevelType w:val="hybridMultilevel"/>
    <w:tmpl w:val="4B0677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A2"/>
    <w:rsid w:val="0000082B"/>
    <w:rsid w:val="00006831"/>
    <w:rsid w:val="00015FEC"/>
    <w:rsid w:val="00020F8B"/>
    <w:rsid w:val="000254C6"/>
    <w:rsid w:val="0003399F"/>
    <w:rsid w:val="000452CB"/>
    <w:rsid w:val="0005216C"/>
    <w:rsid w:val="00052446"/>
    <w:rsid w:val="00056455"/>
    <w:rsid w:val="00062E4A"/>
    <w:rsid w:val="00082AFD"/>
    <w:rsid w:val="0008352E"/>
    <w:rsid w:val="000A252B"/>
    <w:rsid w:val="000A47C9"/>
    <w:rsid w:val="000B019D"/>
    <w:rsid w:val="000C16E0"/>
    <w:rsid w:val="000D55E2"/>
    <w:rsid w:val="000E074E"/>
    <w:rsid w:val="000E4319"/>
    <w:rsid w:val="000F4F00"/>
    <w:rsid w:val="000F670E"/>
    <w:rsid w:val="00101060"/>
    <w:rsid w:val="00103D8A"/>
    <w:rsid w:val="001145B7"/>
    <w:rsid w:val="00120A8D"/>
    <w:rsid w:val="00124D2E"/>
    <w:rsid w:val="001250BC"/>
    <w:rsid w:val="001326B7"/>
    <w:rsid w:val="00137957"/>
    <w:rsid w:val="0014098D"/>
    <w:rsid w:val="0015014C"/>
    <w:rsid w:val="001631A4"/>
    <w:rsid w:val="00167E0A"/>
    <w:rsid w:val="001742F2"/>
    <w:rsid w:val="00181F44"/>
    <w:rsid w:val="001858A0"/>
    <w:rsid w:val="001A0204"/>
    <w:rsid w:val="001A036C"/>
    <w:rsid w:val="001A5AF3"/>
    <w:rsid w:val="001D285C"/>
    <w:rsid w:val="001D5B35"/>
    <w:rsid w:val="001D7537"/>
    <w:rsid w:val="001F6DC2"/>
    <w:rsid w:val="00201F3B"/>
    <w:rsid w:val="00207BAD"/>
    <w:rsid w:val="002244CD"/>
    <w:rsid w:val="00232F4A"/>
    <w:rsid w:val="0023399D"/>
    <w:rsid w:val="002374A1"/>
    <w:rsid w:val="00244C5A"/>
    <w:rsid w:val="00245A50"/>
    <w:rsid w:val="002464A6"/>
    <w:rsid w:val="00250B3C"/>
    <w:rsid w:val="0025282A"/>
    <w:rsid w:val="00252EE2"/>
    <w:rsid w:val="002571DC"/>
    <w:rsid w:val="002577ED"/>
    <w:rsid w:val="0028641F"/>
    <w:rsid w:val="00296E0A"/>
    <w:rsid w:val="002A2DD2"/>
    <w:rsid w:val="002A2E49"/>
    <w:rsid w:val="002B1778"/>
    <w:rsid w:val="002C1BD7"/>
    <w:rsid w:val="002D3F37"/>
    <w:rsid w:val="002E65AD"/>
    <w:rsid w:val="00314DE8"/>
    <w:rsid w:val="00315A1D"/>
    <w:rsid w:val="00315B00"/>
    <w:rsid w:val="00321066"/>
    <w:rsid w:val="00327D02"/>
    <w:rsid w:val="00334A86"/>
    <w:rsid w:val="003455D9"/>
    <w:rsid w:val="00350938"/>
    <w:rsid w:val="0035571D"/>
    <w:rsid w:val="00363D8A"/>
    <w:rsid w:val="003708E4"/>
    <w:rsid w:val="003744C8"/>
    <w:rsid w:val="00380FEE"/>
    <w:rsid w:val="0038456E"/>
    <w:rsid w:val="0039286F"/>
    <w:rsid w:val="003A6115"/>
    <w:rsid w:val="003B3467"/>
    <w:rsid w:val="003B47ED"/>
    <w:rsid w:val="003C2D29"/>
    <w:rsid w:val="003C55EE"/>
    <w:rsid w:val="003E1734"/>
    <w:rsid w:val="003E18C9"/>
    <w:rsid w:val="003F0D0C"/>
    <w:rsid w:val="003F3222"/>
    <w:rsid w:val="0040163B"/>
    <w:rsid w:val="00402FE5"/>
    <w:rsid w:val="0042356E"/>
    <w:rsid w:val="00423E7C"/>
    <w:rsid w:val="00426111"/>
    <w:rsid w:val="00440533"/>
    <w:rsid w:val="00446F69"/>
    <w:rsid w:val="00461E22"/>
    <w:rsid w:val="00467386"/>
    <w:rsid w:val="0049250E"/>
    <w:rsid w:val="0049477A"/>
    <w:rsid w:val="004B3783"/>
    <w:rsid w:val="004D424C"/>
    <w:rsid w:val="004D730C"/>
    <w:rsid w:val="004D7AD3"/>
    <w:rsid w:val="004F2B05"/>
    <w:rsid w:val="004F4E1C"/>
    <w:rsid w:val="004F6DAE"/>
    <w:rsid w:val="0051487D"/>
    <w:rsid w:val="00524719"/>
    <w:rsid w:val="0055345D"/>
    <w:rsid w:val="005605C8"/>
    <w:rsid w:val="00562486"/>
    <w:rsid w:val="00566E46"/>
    <w:rsid w:val="00567057"/>
    <w:rsid w:val="0057611D"/>
    <w:rsid w:val="005808C6"/>
    <w:rsid w:val="005810BE"/>
    <w:rsid w:val="0058683D"/>
    <w:rsid w:val="00590180"/>
    <w:rsid w:val="005A7B70"/>
    <w:rsid w:val="005C0921"/>
    <w:rsid w:val="005C456A"/>
    <w:rsid w:val="005D499C"/>
    <w:rsid w:val="005D4D65"/>
    <w:rsid w:val="005E2B20"/>
    <w:rsid w:val="006022A9"/>
    <w:rsid w:val="00606C13"/>
    <w:rsid w:val="00623AD5"/>
    <w:rsid w:val="0063678D"/>
    <w:rsid w:val="00642A15"/>
    <w:rsid w:val="006454E4"/>
    <w:rsid w:val="00655908"/>
    <w:rsid w:val="0066457B"/>
    <w:rsid w:val="00665F71"/>
    <w:rsid w:val="00670040"/>
    <w:rsid w:val="00672A91"/>
    <w:rsid w:val="006753DA"/>
    <w:rsid w:val="0068252C"/>
    <w:rsid w:val="00690750"/>
    <w:rsid w:val="00691270"/>
    <w:rsid w:val="006A1F62"/>
    <w:rsid w:val="006A2D19"/>
    <w:rsid w:val="006B75FA"/>
    <w:rsid w:val="006B79F3"/>
    <w:rsid w:val="006C0E25"/>
    <w:rsid w:val="006C4D3E"/>
    <w:rsid w:val="006E3763"/>
    <w:rsid w:val="006E427D"/>
    <w:rsid w:val="006F0101"/>
    <w:rsid w:val="006F7B9E"/>
    <w:rsid w:val="007340F3"/>
    <w:rsid w:val="007352EE"/>
    <w:rsid w:val="00746200"/>
    <w:rsid w:val="007513FA"/>
    <w:rsid w:val="00757A42"/>
    <w:rsid w:val="007612C0"/>
    <w:rsid w:val="0076200A"/>
    <w:rsid w:val="00767134"/>
    <w:rsid w:val="00767C33"/>
    <w:rsid w:val="00787838"/>
    <w:rsid w:val="007976F7"/>
    <w:rsid w:val="007A3176"/>
    <w:rsid w:val="007A435E"/>
    <w:rsid w:val="007A5FF1"/>
    <w:rsid w:val="007B6D86"/>
    <w:rsid w:val="007C10C2"/>
    <w:rsid w:val="007D132F"/>
    <w:rsid w:val="007D6794"/>
    <w:rsid w:val="007F026D"/>
    <w:rsid w:val="008003B0"/>
    <w:rsid w:val="00807AFB"/>
    <w:rsid w:val="00820DE5"/>
    <w:rsid w:val="008340C2"/>
    <w:rsid w:val="00842177"/>
    <w:rsid w:val="00846FC3"/>
    <w:rsid w:val="00847460"/>
    <w:rsid w:val="008477ED"/>
    <w:rsid w:val="008531DE"/>
    <w:rsid w:val="00854D3C"/>
    <w:rsid w:val="0085542A"/>
    <w:rsid w:val="00860DE5"/>
    <w:rsid w:val="00860E6D"/>
    <w:rsid w:val="00865C36"/>
    <w:rsid w:val="00876776"/>
    <w:rsid w:val="00883F36"/>
    <w:rsid w:val="00887187"/>
    <w:rsid w:val="008A338E"/>
    <w:rsid w:val="008C2CB4"/>
    <w:rsid w:val="008D1565"/>
    <w:rsid w:val="008D2AFA"/>
    <w:rsid w:val="008E084D"/>
    <w:rsid w:val="008E3243"/>
    <w:rsid w:val="008E3D93"/>
    <w:rsid w:val="008E46D4"/>
    <w:rsid w:val="008E489C"/>
    <w:rsid w:val="008E4DEB"/>
    <w:rsid w:val="008F2B60"/>
    <w:rsid w:val="00907A87"/>
    <w:rsid w:val="00910613"/>
    <w:rsid w:val="00917B53"/>
    <w:rsid w:val="009275ED"/>
    <w:rsid w:val="00931FBD"/>
    <w:rsid w:val="00966529"/>
    <w:rsid w:val="00967B34"/>
    <w:rsid w:val="00992B42"/>
    <w:rsid w:val="00992E21"/>
    <w:rsid w:val="0099341E"/>
    <w:rsid w:val="009978B1"/>
    <w:rsid w:val="009A15D8"/>
    <w:rsid w:val="009A38DF"/>
    <w:rsid w:val="009A3C59"/>
    <w:rsid w:val="009B3184"/>
    <w:rsid w:val="009C3671"/>
    <w:rsid w:val="009D4362"/>
    <w:rsid w:val="009D65CB"/>
    <w:rsid w:val="009D71A1"/>
    <w:rsid w:val="009D7642"/>
    <w:rsid w:val="009E5EC7"/>
    <w:rsid w:val="009F16E0"/>
    <w:rsid w:val="009F75AE"/>
    <w:rsid w:val="00A053FD"/>
    <w:rsid w:val="00A13F36"/>
    <w:rsid w:val="00A210A2"/>
    <w:rsid w:val="00A22D28"/>
    <w:rsid w:val="00A41B1C"/>
    <w:rsid w:val="00A44601"/>
    <w:rsid w:val="00A45700"/>
    <w:rsid w:val="00A52FBC"/>
    <w:rsid w:val="00A90410"/>
    <w:rsid w:val="00AB3863"/>
    <w:rsid w:val="00AB49E4"/>
    <w:rsid w:val="00AC4AE1"/>
    <w:rsid w:val="00AD054B"/>
    <w:rsid w:val="00AD16A7"/>
    <w:rsid w:val="00AD47F6"/>
    <w:rsid w:val="00AE1157"/>
    <w:rsid w:val="00AE245D"/>
    <w:rsid w:val="00AE370A"/>
    <w:rsid w:val="00AF134F"/>
    <w:rsid w:val="00AF1D21"/>
    <w:rsid w:val="00AF5415"/>
    <w:rsid w:val="00B05322"/>
    <w:rsid w:val="00B264F7"/>
    <w:rsid w:val="00B47D15"/>
    <w:rsid w:val="00B60406"/>
    <w:rsid w:val="00B743C4"/>
    <w:rsid w:val="00B76F66"/>
    <w:rsid w:val="00B80C11"/>
    <w:rsid w:val="00B84104"/>
    <w:rsid w:val="00B87F7B"/>
    <w:rsid w:val="00B92AD7"/>
    <w:rsid w:val="00B93D1B"/>
    <w:rsid w:val="00B95093"/>
    <w:rsid w:val="00B954E9"/>
    <w:rsid w:val="00BA3DD5"/>
    <w:rsid w:val="00BB6A35"/>
    <w:rsid w:val="00BC2876"/>
    <w:rsid w:val="00BD7881"/>
    <w:rsid w:val="00BE0E6F"/>
    <w:rsid w:val="00BE7061"/>
    <w:rsid w:val="00BE7337"/>
    <w:rsid w:val="00BF65E0"/>
    <w:rsid w:val="00C02909"/>
    <w:rsid w:val="00C02FEC"/>
    <w:rsid w:val="00C04559"/>
    <w:rsid w:val="00C21553"/>
    <w:rsid w:val="00C44ACE"/>
    <w:rsid w:val="00C555C5"/>
    <w:rsid w:val="00C6268B"/>
    <w:rsid w:val="00C667A2"/>
    <w:rsid w:val="00C6681A"/>
    <w:rsid w:val="00C66D88"/>
    <w:rsid w:val="00C70995"/>
    <w:rsid w:val="00C76920"/>
    <w:rsid w:val="00C82BC5"/>
    <w:rsid w:val="00C943EA"/>
    <w:rsid w:val="00CB3831"/>
    <w:rsid w:val="00CD17D6"/>
    <w:rsid w:val="00CD35DC"/>
    <w:rsid w:val="00CF3E7C"/>
    <w:rsid w:val="00D0032C"/>
    <w:rsid w:val="00D06447"/>
    <w:rsid w:val="00D276FB"/>
    <w:rsid w:val="00D30130"/>
    <w:rsid w:val="00D45A4C"/>
    <w:rsid w:val="00D54D54"/>
    <w:rsid w:val="00D63C69"/>
    <w:rsid w:val="00D72021"/>
    <w:rsid w:val="00D73284"/>
    <w:rsid w:val="00D929EB"/>
    <w:rsid w:val="00D94409"/>
    <w:rsid w:val="00DA1A1B"/>
    <w:rsid w:val="00DA4960"/>
    <w:rsid w:val="00DB21C8"/>
    <w:rsid w:val="00DB26A2"/>
    <w:rsid w:val="00DB77F0"/>
    <w:rsid w:val="00DC1C47"/>
    <w:rsid w:val="00DC5D9C"/>
    <w:rsid w:val="00DD15F7"/>
    <w:rsid w:val="00DD4557"/>
    <w:rsid w:val="00DF6CB5"/>
    <w:rsid w:val="00E02679"/>
    <w:rsid w:val="00E10D7F"/>
    <w:rsid w:val="00E15E3C"/>
    <w:rsid w:val="00E1611A"/>
    <w:rsid w:val="00E250FF"/>
    <w:rsid w:val="00E31E14"/>
    <w:rsid w:val="00E64319"/>
    <w:rsid w:val="00E73513"/>
    <w:rsid w:val="00E73693"/>
    <w:rsid w:val="00E75506"/>
    <w:rsid w:val="00E90177"/>
    <w:rsid w:val="00EA3BF6"/>
    <w:rsid w:val="00EB1537"/>
    <w:rsid w:val="00EC2F43"/>
    <w:rsid w:val="00EC5F9D"/>
    <w:rsid w:val="00EE5552"/>
    <w:rsid w:val="00F0248B"/>
    <w:rsid w:val="00F175A2"/>
    <w:rsid w:val="00F21961"/>
    <w:rsid w:val="00F22150"/>
    <w:rsid w:val="00F30644"/>
    <w:rsid w:val="00F30D8F"/>
    <w:rsid w:val="00F34C8E"/>
    <w:rsid w:val="00F45F4B"/>
    <w:rsid w:val="00F5149D"/>
    <w:rsid w:val="00F5236E"/>
    <w:rsid w:val="00F55472"/>
    <w:rsid w:val="00F55983"/>
    <w:rsid w:val="00F73B41"/>
    <w:rsid w:val="00F908CD"/>
    <w:rsid w:val="00FA44B3"/>
    <w:rsid w:val="00FA4E40"/>
    <w:rsid w:val="00FB30C2"/>
    <w:rsid w:val="00FC2FC5"/>
    <w:rsid w:val="00FD1F2F"/>
    <w:rsid w:val="00FD2B3E"/>
    <w:rsid w:val="00FD3F54"/>
    <w:rsid w:val="00FE1F0C"/>
    <w:rsid w:val="00FE48AA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5283"/>
  <w15:chartTrackingRefBased/>
  <w15:docId w15:val="{4748C919-38FA-0146-A4DF-DBAAB422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66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6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67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66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667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667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67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667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667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6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67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67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667A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667A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667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67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67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67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67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66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66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6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6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67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667A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667A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6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67A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667A2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Carpredefinitoparagrafo"/>
    <w:rsid w:val="00F30D8F"/>
    <w:rPr>
      <w:rFonts w:ascii="Segoe UI" w:hAnsi="Segoe UI" w:cs="Segoe UI" w:hint="default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B3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3831"/>
  </w:style>
  <w:style w:type="paragraph" w:styleId="Pidipagina">
    <w:name w:val="footer"/>
    <w:basedOn w:val="Normale"/>
    <w:link w:val="PidipaginaCarattere"/>
    <w:uiPriority w:val="99"/>
    <w:unhideWhenUsed/>
    <w:rsid w:val="00CB3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C1363-7E39-437F-989A-55E8D579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BUTI, Marco</dc:creator>
  <cp:keywords/>
  <dc:description/>
  <cp:lastModifiedBy>Cdd</cp:lastModifiedBy>
  <cp:revision>2</cp:revision>
  <dcterms:created xsi:type="dcterms:W3CDTF">2024-05-21T16:29:00Z</dcterms:created>
  <dcterms:modified xsi:type="dcterms:W3CDTF">2024-05-21T16:29:00Z</dcterms:modified>
</cp:coreProperties>
</file>