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CF92F" w14:textId="6D346507" w:rsidR="00E27B95" w:rsidRDefault="00E27B95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E14A3E6" wp14:editId="63D5964D">
            <wp:extent cx="2819400" cy="557784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3E07" w14:textId="77777777" w:rsidR="003B77E3" w:rsidRDefault="003B77E3"/>
    <w:p w14:paraId="65A321E5" w14:textId="52756338" w:rsidR="00E27B95" w:rsidRPr="00AA44AE" w:rsidRDefault="003B77E3">
      <w:pPr>
        <w:rPr>
          <w:i/>
          <w:iCs/>
        </w:rPr>
      </w:pPr>
      <w:r w:rsidRPr="00AA44AE">
        <w:rPr>
          <w:i/>
          <w:iCs/>
        </w:rPr>
        <w:t>28 febbraio 2023</w:t>
      </w:r>
    </w:p>
    <w:p w14:paraId="47B6A469" w14:textId="47C2995C" w:rsidR="00AA44AE" w:rsidRDefault="00AA44AE" w:rsidP="00AA44AE">
      <w:pPr>
        <w:rPr>
          <w:rFonts w:ascii="Gill Sans MT" w:hAnsi="Gill Sans MT" w:cs="Arial"/>
          <w:sz w:val="28"/>
          <w:szCs w:val="28"/>
        </w:rPr>
      </w:pPr>
      <w:r w:rsidRPr="00AA44AE">
        <w:rPr>
          <w:rFonts w:ascii="Gill Sans MT" w:hAnsi="Gill Sans MT" w:cs="Arial"/>
          <w:sz w:val="28"/>
          <w:szCs w:val="28"/>
        </w:rPr>
        <w:t xml:space="preserve">Contributo Fondazione Terre des Hommes </w:t>
      </w:r>
    </w:p>
    <w:p w14:paraId="0F8243E1" w14:textId="1F350752" w:rsidR="00AA44AE" w:rsidRPr="00AA44AE" w:rsidRDefault="00AA44AE" w:rsidP="00AA44AE">
      <w:pPr>
        <w:rPr>
          <w:rFonts w:ascii="Gill Sans MT" w:hAnsi="Gill Sans MT" w:cs="Arial"/>
          <w:sz w:val="20"/>
          <w:szCs w:val="20"/>
        </w:rPr>
      </w:pPr>
      <w:r w:rsidRPr="00AA44AE">
        <w:rPr>
          <w:rFonts w:ascii="Gill Sans MT" w:hAnsi="Gill Sans MT" w:cs="Arial"/>
          <w:sz w:val="20"/>
          <w:szCs w:val="20"/>
        </w:rPr>
        <w:t>A cura di Federica Giannotta</w:t>
      </w:r>
      <w:r>
        <w:rPr>
          <w:rFonts w:ascii="Gill Sans MT" w:hAnsi="Gill Sans MT" w:cs="Arial"/>
          <w:sz w:val="20"/>
          <w:szCs w:val="20"/>
        </w:rPr>
        <w:t xml:space="preserve">, </w:t>
      </w:r>
      <w:r w:rsidRPr="00AA44AE">
        <w:rPr>
          <w:rFonts w:ascii="Gill Sans MT" w:hAnsi="Gill Sans MT" w:cs="Arial"/>
          <w:sz w:val="20"/>
          <w:szCs w:val="20"/>
        </w:rPr>
        <w:t>Responsabile Advocacy e programmi Italia di Terre des Hommes e Avv. Marisa Marraffino</w:t>
      </w:r>
      <w:r>
        <w:rPr>
          <w:rFonts w:ascii="Gill Sans MT" w:hAnsi="Gill Sans MT" w:cs="Arial"/>
          <w:sz w:val="20"/>
          <w:szCs w:val="20"/>
        </w:rPr>
        <w:t>,</w:t>
      </w:r>
      <w:r w:rsidRPr="00AA44AE">
        <w:rPr>
          <w:rFonts w:ascii="Gill Sans MT" w:hAnsi="Gill Sans MT" w:cs="Arial"/>
          <w:sz w:val="20"/>
          <w:szCs w:val="20"/>
        </w:rPr>
        <w:t xml:space="preserve"> consulente legale Terre des Hommes</w:t>
      </w:r>
      <w:r>
        <w:rPr>
          <w:rFonts w:ascii="Gill Sans MT" w:hAnsi="Gill Sans MT" w:cs="Arial"/>
          <w:sz w:val="20"/>
          <w:szCs w:val="20"/>
        </w:rPr>
        <w:t xml:space="preserve"> esperta di diritto minorile e diritto informatico</w:t>
      </w:r>
    </w:p>
    <w:p w14:paraId="7C6C37BA" w14:textId="5EA2D959" w:rsidR="00AA44AE" w:rsidRPr="00AA44AE" w:rsidRDefault="00AA44AE">
      <w:pPr>
        <w:rPr>
          <w:sz w:val="20"/>
          <w:szCs w:val="20"/>
        </w:rPr>
      </w:pPr>
    </w:p>
    <w:p w14:paraId="10655B61" w14:textId="773FA23C" w:rsidR="00E27B95" w:rsidRDefault="00AA44AE">
      <w:pPr>
        <w:rPr>
          <w:rFonts w:ascii="Gill Sans MT" w:hAnsi="Gill Sans MT" w:cs="Arial"/>
        </w:rPr>
      </w:pPr>
      <w:r>
        <w:t>_______________</w:t>
      </w:r>
    </w:p>
    <w:p w14:paraId="25921651" w14:textId="2450EDB0" w:rsidR="00E27B95" w:rsidRPr="00AA44AE" w:rsidRDefault="00E27B95">
      <w:pPr>
        <w:rPr>
          <w:rFonts w:ascii="Gill Sans MT" w:hAnsi="Gill Sans MT" w:cs="Arial"/>
          <w:sz w:val="28"/>
          <w:szCs w:val="28"/>
        </w:rPr>
      </w:pPr>
      <w:r w:rsidRPr="00E27B95">
        <w:rPr>
          <w:rFonts w:ascii="Gill Sans MT" w:hAnsi="Gill Sans MT" w:cs="Arial"/>
          <w:sz w:val="28"/>
          <w:szCs w:val="28"/>
        </w:rPr>
        <w:t xml:space="preserve">Audizione parlamentare - </w:t>
      </w:r>
      <w:r w:rsidRPr="00E27B95">
        <w:rPr>
          <w:rFonts w:ascii="Gill Sans MT" w:eastAsia="Times New Roman" w:hAnsi="Gill Sans MT" w:cs="Arial"/>
          <w:color w:val="000000"/>
          <w:sz w:val="28"/>
          <w:szCs w:val="28"/>
        </w:rPr>
        <w:t>Commissioni II (Giustizia) e XII (Affari sociali) della Camera</w:t>
      </w:r>
    </w:p>
    <w:p w14:paraId="0D3FE67E" w14:textId="2E65744C" w:rsidR="00E27B95" w:rsidRPr="00E27B95" w:rsidRDefault="00AA44AE" w:rsidP="00E27B95">
      <w:pPr>
        <w:rPr>
          <w:rFonts w:ascii="Gill Sans MT" w:hAnsi="Gill Sans MT" w:cs="Arial"/>
        </w:rPr>
      </w:pPr>
      <w:r>
        <w:rPr>
          <w:rFonts w:ascii="Gill Sans MT" w:eastAsia="Times New Roman" w:hAnsi="Gill Sans MT" w:cs="Arial"/>
          <w:color w:val="000000"/>
        </w:rPr>
        <w:t>D</w:t>
      </w:r>
      <w:r w:rsidR="00E27B95" w:rsidRPr="00E27B95">
        <w:rPr>
          <w:rFonts w:ascii="Gill Sans MT" w:eastAsia="Times New Roman" w:hAnsi="Gill Sans MT" w:cs="Arial"/>
          <w:color w:val="000000"/>
        </w:rPr>
        <w:t xml:space="preserve">isegno di legge </w:t>
      </w:r>
      <w:r w:rsidR="00E27B95" w:rsidRPr="00E27B95">
        <w:rPr>
          <w:rStyle w:val="Enfasigrassetto"/>
          <w:rFonts w:ascii="Gill Sans MT" w:eastAsia="Times New Roman" w:hAnsi="Gill Sans MT" w:cs="Arial"/>
          <w:color w:val="000000"/>
        </w:rPr>
        <w:t>C. 536 Dori, recante Modifiche al codice penale, alla legge 29 maggio 2017, n. 71, e al regio decreto-legge 20 luglio 1934, n. 1404, convertito, con modificazioni, dalla legge 27 maggio 1935, n. 835, in materia di prevenzione e contrasto del fenomeno del bullismo e di misure rieducative dei minori”</w:t>
      </w:r>
    </w:p>
    <w:p w14:paraId="6015506C" w14:textId="677A16A9" w:rsidR="00E27B95" w:rsidRPr="00E27B95" w:rsidRDefault="00E27B95">
      <w:pPr>
        <w:rPr>
          <w:rFonts w:ascii="Gill Sans MT" w:hAnsi="Gill Sans MT" w:cs="Arial"/>
        </w:rPr>
      </w:pPr>
    </w:p>
    <w:p w14:paraId="59BF0D27" w14:textId="4858EB26" w:rsidR="00E27B95" w:rsidRPr="00E27B95" w:rsidRDefault="00E27B95">
      <w:pPr>
        <w:rPr>
          <w:rFonts w:ascii="Gill Sans MT" w:hAnsi="Gill Sans MT"/>
        </w:rPr>
      </w:pPr>
      <w:r>
        <w:rPr>
          <w:rFonts w:ascii="Gill Sans MT" w:hAnsi="Gill Sans MT"/>
        </w:rPr>
        <w:t>Premessa</w:t>
      </w:r>
    </w:p>
    <w:p w14:paraId="6014EA57" w14:textId="0319F232" w:rsidR="00E27B95" w:rsidRDefault="009E31B2">
      <w:pPr>
        <w:rPr>
          <w:rFonts w:ascii="Gill Sans MT" w:hAnsi="Gill Sans MT"/>
        </w:rPr>
      </w:pPr>
      <w:r w:rsidRPr="00E27B95">
        <w:rPr>
          <w:rFonts w:ascii="Gill Sans MT" w:hAnsi="Gill Sans MT"/>
        </w:rPr>
        <w:t>Terre des Hommes</w:t>
      </w:r>
      <w:r w:rsidR="00E27B95">
        <w:rPr>
          <w:rFonts w:ascii="Gill Sans MT" w:hAnsi="Gill Sans MT"/>
        </w:rPr>
        <w:t xml:space="preserve"> </w:t>
      </w:r>
      <w:r w:rsidR="003B77E3">
        <w:rPr>
          <w:rFonts w:ascii="Gill Sans MT" w:hAnsi="Gill Sans MT"/>
        </w:rPr>
        <w:t xml:space="preserve">avendo quale </w:t>
      </w:r>
      <w:r w:rsidR="00E27B95">
        <w:rPr>
          <w:rFonts w:ascii="Gill Sans MT" w:hAnsi="Gill Sans MT"/>
        </w:rPr>
        <w:t xml:space="preserve">mission </w:t>
      </w:r>
      <w:r w:rsidR="003B77E3">
        <w:rPr>
          <w:rFonts w:ascii="Gill Sans MT" w:hAnsi="Gill Sans MT"/>
        </w:rPr>
        <w:t>la</w:t>
      </w:r>
      <w:r w:rsidR="00E27B95">
        <w:rPr>
          <w:rFonts w:ascii="Gill Sans MT" w:hAnsi="Gill Sans MT"/>
        </w:rPr>
        <w:t xml:space="preserve"> protezione dell’infanzia e adolescenza da qualsivoglia forma di violenza e abuso, ritiene il contrasto dei fenomeni di bullismo e cyberbullismo, </w:t>
      </w:r>
      <w:r w:rsidR="003B77E3">
        <w:rPr>
          <w:rFonts w:ascii="Gill Sans MT" w:hAnsi="Gill Sans MT"/>
        </w:rPr>
        <w:t xml:space="preserve">ambiti </w:t>
      </w:r>
      <w:r w:rsidR="00E27B95">
        <w:rPr>
          <w:rFonts w:ascii="Gill Sans MT" w:hAnsi="Gill Sans MT"/>
        </w:rPr>
        <w:t>prioritari di intervento e di impegno.</w:t>
      </w:r>
    </w:p>
    <w:p w14:paraId="45E02FFF" w14:textId="66307898" w:rsidR="00E27B95" w:rsidRDefault="00E27B9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La Fondazione </w:t>
      </w:r>
      <w:r w:rsidR="003B77E3">
        <w:rPr>
          <w:rFonts w:ascii="Gill Sans MT" w:hAnsi="Gill Sans MT"/>
        </w:rPr>
        <w:t xml:space="preserve">valuta </w:t>
      </w:r>
      <w:r>
        <w:rPr>
          <w:rFonts w:ascii="Gill Sans MT" w:hAnsi="Gill Sans MT"/>
        </w:rPr>
        <w:t>complessivamente molto positiva la proposta di legge oggetto della presente audizione, apprezzandone l’attenzione particolare agli aspetti di prevenzione, educazione nonché di formazione</w:t>
      </w:r>
      <w:r w:rsidR="003B77E3">
        <w:rPr>
          <w:rFonts w:ascii="Gill Sans MT" w:hAnsi="Gill Sans MT"/>
        </w:rPr>
        <w:t xml:space="preserve"> in essa contenuti,</w:t>
      </w:r>
      <w:r>
        <w:rPr>
          <w:rFonts w:ascii="Gill Sans MT" w:hAnsi="Gill Sans MT"/>
        </w:rPr>
        <w:t xml:space="preserve"> </w:t>
      </w:r>
      <w:r w:rsidR="0046497F">
        <w:rPr>
          <w:rFonts w:ascii="Gill Sans MT" w:hAnsi="Gill Sans MT"/>
        </w:rPr>
        <w:t>in quanto elementi che</w:t>
      </w:r>
      <w:r>
        <w:rPr>
          <w:rFonts w:ascii="Gill Sans MT" w:hAnsi="Gill Sans MT"/>
        </w:rPr>
        <w:t>, combinati tra loro,</w:t>
      </w:r>
      <w:r w:rsidR="0046497F">
        <w:rPr>
          <w:rFonts w:ascii="Gill Sans MT" w:hAnsi="Gill Sans MT"/>
        </w:rPr>
        <w:t xml:space="preserve"> possono </w:t>
      </w:r>
      <w:r w:rsidR="003B77E3">
        <w:rPr>
          <w:rFonts w:ascii="Gill Sans MT" w:hAnsi="Gill Sans MT"/>
        </w:rPr>
        <w:t xml:space="preserve">realmente </w:t>
      </w:r>
      <w:r w:rsidR="0046497F">
        <w:rPr>
          <w:rFonts w:ascii="Gill Sans MT" w:hAnsi="Gill Sans MT"/>
        </w:rPr>
        <w:t>costituire una risposta funzionale ad arginare i fenomeni di bullismo e cyberbullismo in ambiente scolastico.</w:t>
      </w:r>
    </w:p>
    <w:p w14:paraId="1BC72BD8" w14:textId="001FCA17" w:rsidR="0046497F" w:rsidRPr="00867D8F" w:rsidRDefault="00867D8F">
      <w:pPr>
        <w:rPr>
          <w:rFonts w:ascii="Gill Sans MT" w:hAnsi="Gill Sans MT"/>
          <w:i/>
          <w:iCs/>
        </w:rPr>
      </w:pPr>
      <w:r w:rsidRPr="00867D8F">
        <w:rPr>
          <w:rFonts w:ascii="Gill Sans MT" w:hAnsi="Gill Sans MT"/>
          <w:i/>
          <w:iCs/>
        </w:rPr>
        <w:t>Tuttavia</w:t>
      </w:r>
    </w:p>
    <w:p w14:paraId="4A4D30BA" w14:textId="09EE9094" w:rsidR="0046497F" w:rsidRDefault="00902C7C">
      <w:pPr>
        <w:rPr>
          <w:rFonts w:ascii="Gill Sans MT" w:hAnsi="Gill Sans MT"/>
        </w:rPr>
      </w:pPr>
      <w:r w:rsidRPr="00E27B95">
        <w:rPr>
          <w:rFonts w:ascii="Gill Sans MT" w:hAnsi="Gill Sans MT"/>
        </w:rPr>
        <w:t>La Fondazione</w:t>
      </w:r>
      <w:r w:rsidR="00867D8F">
        <w:rPr>
          <w:rFonts w:ascii="Gill Sans MT" w:hAnsi="Gill Sans MT"/>
        </w:rPr>
        <w:t xml:space="preserve"> nutre</w:t>
      </w:r>
      <w:r w:rsidR="009E31B2" w:rsidRPr="00E27B95">
        <w:rPr>
          <w:rFonts w:ascii="Gill Sans MT" w:hAnsi="Gill Sans MT"/>
        </w:rPr>
        <w:t xml:space="preserve"> qualche </w:t>
      </w:r>
      <w:r w:rsidR="0046497F">
        <w:rPr>
          <w:rFonts w:ascii="Gill Sans MT" w:hAnsi="Gill Sans MT"/>
        </w:rPr>
        <w:t>riserva e proposta di integrazione / modifica dell</w:t>
      </w:r>
      <w:r w:rsidR="003B77E3">
        <w:rPr>
          <w:rFonts w:ascii="Gill Sans MT" w:hAnsi="Gill Sans MT"/>
        </w:rPr>
        <w:t>a suindicata</w:t>
      </w:r>
      <w:r w:rsidR="0046497F">
        <w:rPr>
          <w:rFonts w:ascii="Gill Sans MT" w:hAnsi="Gill Sans MT"/>
        </w:rPr>
        <w:t xml:space="preserve"> proposta di legge, che desidera portare all’attenzione del Parlamento.</w:t>
      </w:r>
    </w:p>
    <w:p w14:paraId="15737EE3" w14:textId="1676B46E" w:rsidR="009E31B2" w:rsidRDefault="009E31B2">
      <w:pPr>
        <w:rPr>
          <w:rFonts w:ascii="Gill Sans MT" w:hAnsi="Gill Sans MT"/>
        </w:rPr>
      </w:pPr>
    </w:p>
    <w:p w14:paraId="62F49B14" w14:textId="193852CF" w:rsidR="005D3968" w:rsidRPr="005D3968" w:rsidRDefault="005D3968">
      <w:pPr>
        <w:rPr>
          <w:rFonts w:ascii="Gill Sans MT" w:hAnsi="Gill Sans MT"/>
          <w:b/>
          <w:bCs/>
        </w:rPr>
      </w:pPr>
      <w:r w:rsidRPr="005D3968">
        <w:rPr>
          <w:rFonts w:ascii="Gill Sans MT" w:hAnsi="Gill Sans MT"/>
          <w:b/>
          <w:bCs/>
        </w:rPr>
        <w:t>Art. 1</w:t>
      </w:r>
    </w:p>
    <w:p w14:paraId="28BE836E" w14:textId="21EA758B" w:rsidR="0046497F" w:rsidRPr="0046497F" w:rsidRDefault="0046497F">
      <w:pPr>
        <w:rPr>
          <w:rFonts w:ascii="Gill Sans MT" w:hAnsi="Gill Sans MT"/>
          <w:b/>
          <w:bCs/>
        </w:rPr>
      </w:pPr>
      <w:r w:rsidRPr="0046497F">
        <w:rPr>
          <w:rFonts w:ascii="Gill Sans MT" w:hAnsi="Gill Sans MT"/>
          <w:b/>
          <w:bCs/>
        </w:rPr>
        <w:t>Modifiche al 612</w:t>
      </w:r>
      <w:r w:rsidR="00203EDE">
        <w:rPr>
          <w:rFonts w:ascii="Gill Sans MT" w:hAnsi="Gill Sans MT"/>
          <w:b/>
          <w:bCs/>
        </w:rPr>
        <w:t>-</w:t>
      </w:r>
      <w:r w:rsidRPr="0046497F">
        <w:rPr>
          <w:rFonts w:ascii="Gill Sans MT" w:hAnsi="Gill Sans MT"/>
          <w:b/>
          <w:bCs/>
        </w:rPr>
        <w:t>bis c</w:t>
      </w:r>
      <w:r w:rsidR="00203EDE">
        <w:rPr>
          <w:rFonts w:ascii="Gill Sans MT" w:hAnsi="Gill Sans MT"/>
          <w:b/>
          <w:bCs/>
        </w:rPr>
        <w:t>.</w:t>
      </w:r>
      <w:r w:rsidRPr="0046497F">
        <w:rPr>
          <w:rFonts w:ascii="Gill Sans MT" w:hAnsi="Gill Sans MT"/>
          <w:b/>
          <w:bCs/>
        </w:rPr>
        <w:t>p.</w:t>
      </w:r>
    </w:p>
    <w:p w14:paraId="0A90FB00" w14:textId="14AAB216" w:rsidR="009E31B2" w:rsidRDefault="0046497F" w:rsidP="00302515">
      <w:pPr>
        <w:rPr>
          <w:rFonts w:ascii="Gill Sans MT" w:hAnsi="Gill Sans MT"/>
        </w:rPr>
      </w:pPr>
      <w:r w:rsidRPr="00867D8F">
        <w:rPr>
          <w:rFonts w:ascii="Gill Sans MT" w:hAnsi="Gill Sans MT"/>
        </w:rPr>
        <w:t>Terre des Hommes ha una r</w:t>
      </w:r>
      <w:r w:rsidR="009E31B2" w:rsidRPr="00867D8F">
        <w:rPr>
          <w:rFonts w:ascii="Gill Sans MT" w:hAnsi="Gill Sans MT"/>
        </w:rPr>
        <w:t>iserva circa l’estensione del reato di cui all’art. 612</w:t>
      </w:r>
      <w:r w:rsidR="0060677E">
        <w:rPr>
          <w:rFonts w:ascii="Gill Sans MT" w:hAnsi="Gill Sans MT"/>
        </w:rPr>
        <w:t>-</w:t>
      </w:r>
      <w:r w:rsidRPr="00867D8F">
        <w:rPr>
          <w:rFonts w:ascii="Gill Sans MT" w:hAnsi="Gill Sans MT"/>
        </w:rPr>
        <w:t>bis</w:t>
      </w:r>
      <w:r w:rsidR="009E31B2" w:rsidRPr="00867D8F">
        <w:rPr>
          <w:rFonts w:ascii="Gill Sans MT" w:hAnsi="Gill Sans MT"/>
        </w:rPr>
        <w:t xml:space="preserve"> c</w:t>
      </w:r>
      <w:r w:rsidR="0060677E">
        <w:rPr>
          <w:rFonts w:ascii="Gill Sans MT" w:hAnsi="Gill Sans MT"/>
        </w:rPr>
        <w:t>.</w:t>
      </w:r>
      <w:r w:rsidR="009E31B2" w:rsidRPr="00867D8F">
        <w:rPr>
          <w:rFonts w:ascii="Gill Sans MT" w:hAnsi="Gill Sans MT"/>
        </w:rPr>
        <w:t>p</w:t>
      </w:r>
      <w:r w:rsidR="0060677E">
        <w:rPr>
          <w:rFonts w:ascii="Gill Sans MT" w:hAnsi="Gill Sans MT"/>
        </w:rPr>
        <w:t>.</w:t>
      </w:r>
      <w:r w:rsidR="009E31B2" w:rsidRPr="00867D8F">
        <w:rPr>
          <w:rFonts w:ascii="Gill Sans MT" w:hAnsi="Gill Sans MT"/>
        </w:rPr>
        <w:t xml:space="preserve"> (atti persecutori)</w:t>
      </w:r>
      <w:r w:rsidRPr="00867D8F">
        <w:rPr>
          <w:rFonts w:ascii="Gill Sans MT" w:hAnsi="Gill Sans MT"/>
        </w:rPr>
        <w:t xml:space="preserve"> così</w:t>
      </w:r>
      <w:r>
        <w:rPr>
          <w:rFonts w:ascii="Gill Sans MT" w:hAnsi="Gill Sans MT"/>
        </w:rPr>
        <w:t xml:space="preserve"> come previsto nella proposta di legge oggetto di discussione.</w:t>
      </w:r>
    </w:p>
    <w:p w14:paraId="6865A744" w14:textId="0EF499B3" w:rsidR="0046497F" w:rsidRPr="00EA31BA" w:rsidRDefault="0046497F" w:rsidP="0046497F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La Fondazione ritiene che </w:t>
      </w:r>
      <w:r w:rsidRPr="00E27B95">
        <w:rPr>
          <w:rFonts w:ascii="Gill Sans MT" w:hAnsi="Gill Sans MT"/>
        </w:rPr>
        <w:t>l’alveo per il contrasto d</w:t>
      </w:r>
      <w:r>
        <w:rPr>
          <w:rFonts w:ascii="Gill Sans MT" w:hAnsi="Gill Sans MT"/>
        </w:rPr>
        <w:t xml:space="preserve">ei fenomeni di bullismo e cyberbullismo debba </w:t>
      </w:r>
      <w:r w:rsidRPr="00EA31BA">
        <w:rPr>
          <w:rFonts w:ascii="Gill Sans MT" w:hAnsi="Gill Sans MT"/>
        </w:rPr>
        <w:t>rimanere</w:t>
      </w:r>
      <w:r w:rsidR="0060677E" w:rsidRPr="00EA31BA">
        <w:rPr>
          <w:rFonts w:ascii="Gill Sans MT" w:hAnsi="Gill Sans MT"/>
        </w:rPr>
        <w:t xml:space="preserve"> prevalentemente quello civilistico amministrativo oltre che preventivo. </w:t>
      </w:r>
    </w:p>
    <w:p w14:paraId="03C7C4F1" w14:textId="61F39B8F" w:rsidR="009E31B2" w:rsidRDefault="009E31B2" w:rsidP="009E31B2">
      <w:pPr>
        <w:pStyle w:val="Paragrafoelenco"/>
        <w:numPr>
          <w:ilvl w:val="0"/>
          <w:numId w:val="2"/>
        </w:numPr>
        <w:rPr>
          <w:rFonts w:ascii="Gill Sans MT" w:hAnsi="Gill Sans MT"/>
        </w:rPr>
      </w:pPr>
      <w:r w:rsidRPr="00EA31BA">
        <w:rPr>
          <w:rFonts w:ascii="Gill Sans MT" w:hAnsi="Gill Sans MT"/>
        </w:rPr>
        <w:lastRenderedPageBreak/>
        <w:t xml:space="preserve">La fattispecie </w:t>
      </w:r>
      <w:r w:rsidR="0046497F" w:rsidRPr="00EA31BA">
        <w:rPr>
          <w:rFonts w:ascii="Gill Sans MT" w:hAnsi="Gill Sans MT"/>
        </w:rPr>
        <w:t xml:space="preserve">di reato oggi </w:t>
      </w:r>
      <w:r w:rsidRPr="00EA31BA">
        <w:rPr>
          <w:rFonts w:ascii="Gill Sans MT" w:hAnsi="Gill Sans MT"/>
        </w:rPr>
        <w:t xml:space="preserve">prevede tre chiari eventi alternativi tra loro che sono </w:t>
      </w:r>
      <w:r w:rsidRPr="00EA31BA">
        <w:rPr>
          <w:rFonts w:ascii="Gill Sans MT" w:hAnsi="Gill Sans MT"/>
          <w:u w:val="single"/>
        </w:rPr>
        <w:t>ben tipizzati</w:t>
      </w:r>
      <w:r w:rsidRPr="00EA31BA">
        <w:rPr>
          <w:rFonts w:ascii="Gill Sans MT" w:hAnsi="Gill Sans MT"/>
        </w:rPr>
        <w:t xml:space="preserve"> </w:t>
      </w:r>
      <w:r w:rsidR="0046497F" w:rsidRPr="00EA31BA">
        <w:rPr>
          <w:rFonts w:ascii="Gill Sans MT" w:hAnsi="Gill Sans MT"/>
        </w:rPr>
        <w:t xml:space="preserve">(trattandosi di norma di diritto penale) </w:t>
      </w:r>
      <w:r w:rsidRPr="00EA31BA">
        <w:rPr>
          <w:rFonts w:ascii="Gill Sans MT" w:hAnsi="Gill Sans MT"/>
        </w:rPr>
        <w:t xml:space="preserve">e che giustificano una pena </w:t>
      </w:r>
      <w:r w:rsidR="0060677E" w:rsidRPr="00EA31BA">
        <w:rPr>
          <w:rFonts w:ascii="Gill Sans MT" w:hAnsi="Gill Sans MT"/>
        </w:rPr>
        <w:t xml:space="preserve">edittale </w:t>
      </w:r>
      <w:r w:rsidRPr="00EA31BA">
        <w:rPr>
          <w:rFonts w:ascii="Gill Sans MT" w:hAnsi="Gill Sans MT"/>
        </w:rPr>
        <w:t>così alta.</w:t>
      </w:r>
    </w:p>
    <w:p w14:paraId="59A39AC2" w14:textId="77777777" w:rsidR="00BB6E25" w:rsidRPr="00BB6E25" w:rsidRDefault="00BB6E25" w:rsidP="00BB6E25">
      <w:pPr>
        <w:rPr>
          <w:rFonts w:ascii="Gill Sans MT" w:hAnsi="Gill Sans MT"/>
        </w:rPr>
      </w:pPr>
    </w:p>
    <w:p w14:paraId="0AAC67D5" w14:textId="720E8189" w:rsidR="00867D8F" w:rsidRPr="00EA31BA" w:rsidRDefault="009E31B2" w:rsidP="00EA31BA">
      <w:pPr>
        <w:pStyle w:val="Paragrafoelenco"/>
        <w:numPr>
          <w:ilvl w:val="0"/>
          <w:numId w:val="2"/>
        </w:numPr>
        <w:ind w:left="0"/>
        <w:jc w:val="both"/>
        <w:rPr>
          <w:rFonts w:ascii="Gill Sans MT" w:hAnsi="Gill Sans MT"/>
        </w:rPr>
      </w:pPr>
      <w:r w:rsidRPr="00EA31BA">
        <w:rPr>
          <w:rFonts w:ascii="Gill Sans MT" w:hAnsi="Gill Sans MT"/>
        </w:rPr>
        <w:t>L</w:t>
      </w:r>
      <w:r w:rsidR="003B77E3" w:rsidRPr="00EA31BA">
        <w:rPr>
          <w:rFonts w:ascii="Gill Sans MT" w:hAnsi="Gill Sans MT"/>
        </w:rPr>
        <w:t xml:space="preserve">a scelta di prevedere </w:t>
      </w:r>
      <w:r w:rsidRPr="00EA31BA">
        <w:rPr>
          <w:rFonts w:ascii="Gill Sans MT" w:hAnsi="Gill Sans MT"/>
        </w:rPr>
        <w:t>un ulteriore evento quale quello dell’“</w:t>
      </w:r>
      <w:r w:rsidR="00302515" w:rsidRPr="00EA31BA">
        <w:rPr>
          <w:rFonts w:ascii="Gill Sans MT" w:hAnsi="Gill Sans MT"/>
          <w:b/>
          <w:bCs/>
          <w:i/>
          <w:iCs/>
        </w:rPr>
        <w:t>emarginazione</w:t>
      </w:r>
      <w:r w:rsidRPr="00EA31BA">
        <w:rPr>
          <w:rFonts w:ascii="Gill Sans MT" w:hAnsi="Gill Sans MT"/>
        </w:rPr>
        <w:t xml:space="preserve">” </w:t>
      </w:r>
      <w:r w:rsidR="003B77E3" w:rsidRPr="00EA31BA">
        <w:rPr>
          <w:rFonts w:ascii="Gill Sans MT" w:hAnsi="Gill Sans MT"/>
        </w:rPr>
        <w:t xml:space="preserve">- alternativo agli altri </w:t>
      </w:r>
      <w:r w:rsidR="003B77E3" w:rsidRPr="0060677E">
        <w:rPr>
          <w:rFonts w:ascii="Gill Sans MT" w:hAnsi="Gill Sans MT"/>
        </w:rPr>
        <w:t xml:space="preserve">tre, già esistenti - </w:t>
      </w:r>
      <w:r w:rsidRPr="0060677E">
        <w:rPr>
          <w:rFonts w:ascii="Gill Sans MT" w:hAnsi="Gill Sans MT"/>
        </w:rPr>
        <w:t>è</w:t>
      </w:r>
      <w:r w:rsidR="003B77E3" w:rsidRPr="0060677E">
        <w:rPr>
          <w:rFonts w:ascii="Gill Sans MT" w:hAnsi="Gill Sans MT"/>
        </w:rPr>
        <w:t xml:space="preserve"> </w:t>
      </w:r>
      <w:r w:rsidRPr="0060677E">
        <w:rPr>
          <w:rFonts w:ascii="Gill Sans MT" w:hAnsi="Gill Sans MT"/>
        </w:rPr>
        <w:t>molto rischios</w:t>
      </w:r>
      <w:r w:rsidR="003B77E3" w:rsidRPr="0060677E">
        <w:rPr>
          <w:rFonts w:ascii="Gill Sans MT" w:hAnsi="Gill Sans MT"/>
        </w:rPr>
        <w:t>a,</w:t>
      </w:r>
      <w:r w:rsidRPr="0060677E">
        <w:rPr>
          <w:rFonts w:ascii="Gill Sans MT" w:hAnsi="Gill Sans MT"/>
        </w:rPr>
        <w:t xml:space="preserve"> </w:t>
      </w:r>
      <w:r w:rsidR="003B77E3" w:rsidRPr="0060677E">
        <w:rPr>
          <w:rFonts w:ascii="Gill Sans MT" w:hAnsi="Gill Sans MT"/>
        </w:rPr>
        <w:t>essendo il concetto di ‘emarginazione’ troppo ampio e indefinito, elementi che solleverebbero profili di incostituzionalità della norma, ove così riformulata.</w:t>
      </w:r>
      <w:r w:rsidR="0060677E" w:rsidRPr="0060677E">
        <w:rPr>
          <w:rFonts w:ascii="Gill Sans MT" w:hAnsi="Gill Sans MT"/>
        </w:rPr>
        <w:t xml:space="preserve"> </w:t>
      </w:r>
      <w:r w:rsidR="0060677E" w:rsidRPr="00EA31BA">
        <w:rPr>
          <w:rFonts w:ascii="Gill Sans MT" w:hAnsi="Gill Sans MT"/>
        </w:rPr>
        <w:t>La norma</w:t>
      </w:r>
      <w:r w:rsidR="00E659C2" w:rsidRPr="00EA31BA">
        <w:rPr>
          <w:rFonts w:ascii="Gill Sans MT" w:hAnsi="Gill Sans MT"/>
        </w:rPr>
        <w:t xml:space="preserve"> </w:t>
      </w:r>
      <w:r w:rsidR="0060677E" w:rsidRPr="00EA31BA">
        <w:rPr>
          <w:rFonts w:ascii="Gill Sans MT" w:hAnsi="Gill Sans MT"/>
        </w:rPr>
        <w:t xml:space="preserve">infatti così come delineata appare violare il principio di tassatività (o determinatezza), cardine del diritto penale. Se è vero che il concetto di “emarginazione” è noto al Consiglio di Stato nei numerosi procedimenti per mobbing, la nozione non può essere mutuata a fini repressivi/punitivi. Come noto, infatti, nel diritto penale, il principio di tassatività assicura la certezza della legge, garantendo il diritto di difesa e l’eguaglianza giuridica dei cittadini a parità di condotta. Se è pur vero che da un lato nei casi di bullismo e/o cyberbullismo l’emarginazione è spesso una conseguenza diretta o un segnale embrionale che può seguire o anticipare le reiterate condotte moleste e/o ingiuriose o diffamatorie, dall’altro introdurlo quale evento ulteriore e alternativo della condotta rischia di aprire il varco a: 1) incertezze applicative; 2) un eccesso di criminalizzazione; 3) assenza di garantismo.  </w:t>
      </w:r>
    </w:p>
    <w:p w14:paraId="03DF775A" w14:textId="1DF0DDF6" w:rsidR="00683828" w:rsidRPr="00EA31BA" w:rsidRDefault="0060677E" w:rsidP="00EA31BA">
      <w:pPr>
        <w:jc w:val="both"/>
        <w:rPr>
          <w:rFonts w:ascii="Gill Sans MT" w:hAnsi="Gill Sans MT"/>
        </w:rPr>
      </w:pPr>
      <w:r w:rsidRPr="00EA31BA">
        <w:rPr>
          <w:rFonts w:ascii="Gill Sans MT" w:hAnsi="Gill Sans MT"/>
        </w:rPr>
        <w:t>Rientrerebbe</w:t>
      </w:r>
      <w:r w:rsidR="00BB6E25">
        <w:rPr>
          <w:rFonts w:ascii="Gill Sans MT" w:hAnsi="Gill Sans MT"/>
        </w:rPr>
        <w:t>ro</w:t>
      </w:r>
      <w:r w:rsidRPr="00EA31BA">
        <w:rPr>
          <w:rFonts w:ascii="Gill Sans MT" w:hAnsi="Gill Sans MT"/>
        </w:rPr>
        <w:t xml:space="preserve"> nell’alveo della norma, punita con pena base fino a 6 anni e sei mesi, condotte</w:t>
      </w:r>
      <w:r w:rsidR="00BB6E25">
        <w:rPr>
          <w:rFonts w:ascii="Gill Sans MT" w:hAnsi="Gill Sans MT"/>
        </w:rPr>
        <w:t xml:space="preserve"> i</w:t>
      </w:r>
      <w:r w:rsidRPr="00EA31BA">
        <w:rPr>
          <w:rFonts w:ascii="Gill Sans MT" w:hAnsi="Gill Sans MT"/>
        </w:rPr>
        <w:t xml:space="preserve">mpossibili da stabilire </w:t>
      </w:r>
      <w:r w:rsidRPr="00EA31BA">
        <w:rPr>
          <w:rFonts w:ascii="Gill Sans MT" w:hAnsi="Gill Sans MT"/>
          <w:i/>
          <w:iCs/>
        </w:rPr>
        <w:t>a priori</w:t>
      </w:r>
      <w:r w:rsidRPr="00EA31BA">
        <w:rPr>
          <w:rFonts w:ascii="Gill Sans MT" w:hAnsi="Gill Sans MT"/>
        </w:rPr>
        <w:t xml:space="preserve"> (</w:t>
      </w:r>
      <w:r w:rsidR="001E2DCC" w:rsidRPr="00EA31BA">
        <w:rPr>
          <w:rFonts w:ascii="Gill Sans MT" w:hAnsi="Gill Sans MT"/>
        </w:rPr>
        <w:t xml:space="preserve">esempio: </w:t>
      </w:r>
      <w:r w:rsidRPr="00EA31BA">
        <w:rPr>
          <w:rFonts w:ascii="Gill Sans MT" w:hAnsi="Gill Sans MT"/>
        </w:rPr>
        <w:t>non invitare un compagno a un compleanno dopo averlo schernito; non invitarlo a casa propria a fare i compiti o es</w:t>
      </w:r>
      <w:r w:rsidR="001E2DCC" w:rsidRPr="00EA31BA">
        <w:rPr>
          <w:rFonts w:ascii="Gill Sans MT" w:hAnsi="Gill Sans MT"/>
        </w:rPr>
        <w:t>c</w:t>
      </w:r>
      <w:r w:rsidRPr="00EA31BA">
        <w:rPr>
          <w:rFonts w:ascii="Gill Sans MT" w:hAnsi="Gill Sans MT"/>
        </w:rPr>
        <w:t>lu</w:t>
      </w:r>
      <w:r w:rsidR="00E659C2" w:rsidRPr="00EA31BA">
        <w:rPr>
          <w:rFonts w:ascii="Gill Sans MT" w:hAnsi="Gill Sans MT"/>
        </w:rPr>
        <w:t>derlo dal gruppo WhatsApp degli amici</w:t>
      </w:r>
      <w:r w:rsidR="001E2DCC" w:rsidRPr="00EA31BA">
        <w:rPr>
          <w:rFonts w:ascii="Gill Sans MT" w:hAnsi="Gill Sans MT"/>
        </w:rPr>
        <w:t xml:space="preserve"> dopo averlo offeso</w:t>
      </w:r>
      <w:r w:rsidR="00E659C2" w:rsidRPr="00EA31BA">
        <w:rPr>
          <w:rFonts w:ascii="Gill Sans MT" w:hAnsi="Gill Sans MT"/>
        </w:rPr>
        <w:t>).</w:t>
      </w:r>
    </w:p>
    <w:p w14:paraId="7A76A8CE" w14:textId="6E6C5FC3" w:rsidR="0060677E" w:rsidRPr="00EA31BA" w:rsidRDefault="00BB6E25" w:rsidP="00EA31BA">
      <w:pPr>
        <w:jc w:val="both"/>
        <w:rPr>
          <w:rFonts w:ascii="Gill Sans MT" w:hAnsi="Gill Sans MT"/>
        </w:rPr>
      </w:pPr>
      <w:r w:rsidRPr="00EA31BA">
        <w:rPr>
          <w:rFonts w:ascii="Gill Sans MT" w:hAnsi="Gill Sans MT"/>
        </w:rPr>
        <w:t>Peraltro,</w:t>
      </w:r>
      <w:r w:rsidR="00683828" w:rsidRPr="00EA31BA">
        <w:rPr>
          <w:rFonts w:ascii="Gill Sans MT" w:hAnsi="Gill Sans MT"/>
        </w:rPr>
        <w:t xml:space="preserve"> il co</w:t>
      </w:r>
      <w:r w:rsidR="00EA31BA" w:rsidRPr="00EA31BA">
        <w:rPr>
          <w:rFonts w:ascii="Gill Sans MT" w:hAnsi="Gill Sans MT"/>
        </w:rPr>
        <w:t>n</w:t>
      </w:r>
      <w:r w:rsidR="00683828" w:rsidRPr="00EA31BA">
        <w:rPr>
          <w:rFonts w:ascii="Gill Sans MT" w:hAnsi="Gill Sans MT"/>
        </w:rPr>
        <w:t>cetto di “isolamento” simile a quello di “emarginazione” viene già enfatizzato dall’art. 1 della Legge 71/2017 nella parte in cui delinea la definizione di cyberbullismo/bullismo.</w:t>
      </w:r>
    </w:p>
    <w:p w14:paraId="136D3D49" w14:textId="2817FBDE" w:rsidR="0060677E" w:rsidRPr="00EA31BA" w:rsidRDefault="00683828" w:rsidP="00EA31BA">
      <w:pPr>
        <w:jc w:val="both"/>
        <w:rPr>
          <w:rFonts w:ascii="Gill Sans MT" w:hAnsi="Gill Sans MT"/>
        </w:rPr>
      </w:pPr>
      <w:r w:rsidRPr="00EA31BA">
        <w:rPr>
          <w:rFonts w:ascii="Gill Sans MT" w:hAnsi="Gill Sans MT"/>
        </w:rPr>
        <w:t>Sembra quindi più opportuno in questi casi punire le condotte eventualmente poste in essere per il tramite delle fattispecie di cui agli artt. 595 c.p. (diffamazione); art. 610 c.p. (violenza privata), 660 c.p. (molestia).</w:t>
      </w:r>
    </w:p>
    <w:p w14:paraId="49399954" w14:textId="2E0B68C9" w:rsidR="00683828" w:rsidRPr="00EA31BA" w:rsidRDefault="00683828" w:rsidP="00EA31BA">
      <w:pPr>
        <w:jc w:val="both"/>
        <w:rPr>
          <w:rFonts w:ascii="Gill Sans MT" w:hAnsi="Gill Sans MT"/>
        </w:rPr>
      </w:pPr>
      <w:r w:rsidRPr="00EA31BA">
        <w:rPr>
          <w:rFonts w:ascii="Gill Sans MT" w:hAnsi="Gill Sans MT"/>
        </w:rPr>
        <w:t>Nel caso in cui i fatti non costituiscono reato l’art. 3 della presente proposta di legge laddove modifica l’art. 5 della legge 71/2017 delinea già chiaramente i doveri del dirigente scolastico che può anche segnalare i fatti alle autorità competenti affinché attivino precisi interventi mirati.</w:t>
      </w:r>
    </w:p>
    <w:p w14:paraId="064735C8" w14:textId="4EA2A88F" w:rsidR="00867D8F" w:rsidRPr="00EA31BA" w:rsidRDefault="00867D8F" w:rsidP="00EA31BA">
      <w:pPr>
        <w:pStyle w:val="Paragrafoelenco"/>
        <w:ind w:left="0"/>
        <w:rPr>
          <w:rFonts w:ascii="Gill Sans MT" w:hAnsi="Gill Sans MT"/>
          <w:b/>
          <w:bCs/>
        </w:rPr>
      </w:pPr>
      <w:r w:rsidRPr="00EA31BA">
        <w:rPr>
          <w:rFonts w:ascii="Gill Sans MT" w:hAnsi="Gill Sans MT"/>
        </w:rPr>
        <w:t>Si consideri infine che</w:t>
      </w:r>
      <w:r w:rsidR="00683828" w:rsidRPr="00EA31BA">
        <w:rPr>
          <w:rFonts w:ascii="Gill Sans MT" w:hAnsi="Gill Sans MT"/>
        </w:rPr>
        <w:t xml:space="preserve"> oggi</w:t>
      </w:r>
      <w:r w:rsidRPr="00EA31BA">
        <w:rPr>
          <w:rFonts w:ascii="Gill Sans MT" w:hAnsi="Gill Sans MT"/>
        </w:rPr>
        <w:t xml:space="preserve"> </w:t>
      </w:r>
      <w:r w:rsidR="00902C7C" w:rsidRPr="00EA31BA">
        <w:rPr>
          <w:rFonts w:ascii="Gill Sans MT" w:hAnsi="Gill Sans MT"/>
        </w:rPr>
        <w:t>il bullismo</w:t>
      </w:r>
      <w:r w:rsidR="00683828" w:rsidRPr="00EA31BA">
        <w:rPr>
          <w:rFonts w:ascii="Gill Sans MT" w:hAnsi="Gill Sans MT"/>
        </w:rPr>
        <w:t>/cyberbullismo</w:t>
      </w:r>
      <w:r w:rsidRPr="00EA31BA">
        <w:rPr>
          <w:rFonts w:ascii="Gill Sans MT" w:hAnsi="Gill Sans MT"/>
        </w:rPr>
        <w:t xml:space="preserve"> </w:t>
      </w:r>
      <w:r w:rsidR="00902C7C" w:rsidRPr="00EA31BA">
        <w:rPr>
          <w:rFonts w:ascii="Gill Sans MT" w:hAnsi="Gill Sans MT"/>
        </w:rPr>
        <w:t xml:space="preserve">è già un insieme di reati già ben delineati (lesioni, ingiurie, percosse, </w:t>
      </w:r>
      <w:r w:rsidR="00683828" w:rsidRPr="00EA31BA">
        <w:rPr>
          <w:rFonts w:ascii="Gill Sans MT" w:hAnsi="Gill Sans MT"/>
        </w:rPr>
        <w:t xml:space="preserve">violenza privata, </w:t>
      </w:r>
      <w:proofErr w:type="spellStart"/>
      <w:r w:rsidR="00683828" w:rsidRPr="00EA31BA">
        <w:rPr>
          <w:rFonts w:ascii="Gill Sans MT" w:hAnsi="Gill Sans MT"/>
        </w:rPr>
        <w:t>ecc</w:t>
      </w:r>
      <w:proofErr w:type="spellEnd"/>
      <w:r w:rsidR="00683828" w:rsidRPr="00EA31BA">
        <w:rPr>
          <w:rFonts w:ascii="Gill Sans MT" w:hAnsi="Gill Sans MT"/>
        </w:rPr>
        <w:t>…</w:t>
      </w:r>
      <w:r w:rsidR="00902C7C" w:rsidRPr="00EA31BA">
        <w:rPr>
          <w:rFonts w:ascii="Gill Sans MT" w:hAnsi="Gill Sans MT"/>
        </w:rPr>
        <w:t>)</w:t>
      </w:r>
      <w:r w:rsidR="00683828" w:rsidRPr="00EA31BA">
        <w:rPr>
          <w:rFonts w:ascii="Gill Sans MT" w:hAnsi="Gill Sans MT"/>
        </w:rPr>
        <w:t>, ampliare il novero delle condotte perseguite penalmente, soprattutto se non sufficientemente determinate, non raggiungerebbe gli scopi</w:t>
      </w:r>
      <w:r w:rsidR="00EA31BA" w:rsidRPr="00EA31BA">
        <w:rPr>
          <w:rFonts w:ascii="Gill Sans MT" w:hAnsi="Gill Sans MT"/>
        </w:rPr>
        <w:t xml:space="preserve"> </w:t>
      </w:r>
      <w:r w:rsidR="00683828" w:rsidRPr="00EA31BA">
        <w:rPr>
          <w:rFonts w:ascii="Gill Sans MT" w:hAnsi="Gill Sans MT"/>
        </w:rPr>
        <w:t>general</w:t>
      </w:r>
      <w:r w:rsidR="00EA31BA" w:rsidRPr="00EA31BA">
        <w:rPr>
          <w:rFonts w:ascii="Gill Sans MT" w:hAnsi="Gill Sans MT"/>
        </w:rPr>
        <w:t xml:space="preserve"> </w:t>
      </w:r>
      <w:r w:rsidR="00683828" w:rsidRPr="00EA31BA">
        <w:rPr>
          <w:rFonts w:ascii="Gill Sans MT" w:hAnsi="Gill Sans MT"/>
        </w:rPr>
        <w:t>preventivi e special</w:t>
      </w:r>
      <w:r w:rsidR="00EA31BA" w:rsidRPr="00EA31BA">
        <w:rPr>
          <w:rFonts w:ascii="Gill Sans MT" w:hAnsi="Gill Sans MT"/>
        </w:rPr>
        <w:t xml:space="preserve"> </w:t>
      </w:r>
      <w:r w:rsidR="00683828" w:rsidRPr="00EA31BA">
        <w:rPr>
          <w:rFonts w:ascii="Gill Sans MT" w:hAnsi="Gill Sans MT"/>
        </w:rPr>
        <w:t xml:space="preserve">preventivi tipici del diritto penale.    </w:t>
      </w:r>
    </w:p>
    <w:p w14:paraId="1081DD85" w14:textId="524F94CF" w:rsidR="005D3968" w:rsidRDefault="005D3968" w:rsidP="009E31B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Art. 2</w:t>
      </w:r>
    </w:p>
    <w:p w14:paraId="095B2BC0" w14:textId="4F6C3C04" w:rsidR="00302515" w:rsidRPr="00867D8F" w:rsidRDefault="00867D8F" w:rsidP="009E31B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Modifiche dell’art. </w:t>
      </w:r>
      <w:r w:rsidR="00302515" w:rsidRPr="00867D8F">
        <w:rPr>
          <w:rFonts w:ascii="Gill Sans MT" w:hAnsi="Gill Sans MT"/>
          <w:b/>
          <w:bCs/>
        </w:rPr>
        <w:t>73</w:t>
      </w:r>
      <w:r w:rsidR="009E31B2" w:rsidRPr="00867D8F">
        <w:rPr>
          <w:rFonts w:ascii="Gill Sans MT" w:hAnsi="Gill Sans MT"/>
          <w:b/>
          <w:bCs/>
        </w:rPr>
        <w:t xml:space="preserve">1 </w:t>
      </w:r>
      <w:proofErr w:type="spellStart"/>
      <w:r w:rsidR="009E31B2" w:rsidRPr="00867D8F">
        <w:rPr>
          <w:rFonts w:ascii="Gill Sans MT" w:hAnsi="Gill Sans MT"/>
          <w:b/>
          <w:bCs/>
        </w:rPr>
        <w:t>cp</w:t>
      </w:r>
      <w:proofErr w:type="spellEnd"/>
      <w:r w:rsidR="009E31B2" w:rsidRPr="00867D8F">
        <w:rPr>
          <w:rFonts w:ascii="Gill Sans MT" w:hAnsi="Gill Sans MT"/>
          <w:b/>
          <w:bCs/>
        </w:rPr>
        <w:t xml:space="preserve"> </w:t>
      </w:r>
    </w:p>
    <w:p w14:paraId="310C08C9" w14:textId="23A7D0B1" w:rsidR="00867D8F" w:rsidRDefault="00867D8F" w:rsidP="009E31B2">
      <w:pPr>
        <w:rPr>
          <w:rFonts w:ascii="Gill Sans MT" w:hAnsi="Gill Sans MT"/>
        </w:rPr>
      </w:pPr>
      <w:r>
        <w:rPr>
          <w:rFonts w:ascii="Gill Sans MT" w:hAnsi="Gill Sans MT"/>
        </w:rPr>
        <w:t>Terre des Hommes concorda con l’estensione dell’obbligo di osservanza dell’istruzione di minori a tutto il percorso di studi obbligatori, eliminando il riferimento all’istruzione elementare.</w:t>
      </w:r>
    </w:p>
    <w:p w14:paraId="158EA52C" w14:textId="0BA40214" w:rsidR="00867D8F" w:rsidRPr="00867D8F" w:rsidRDefault="00867D8F" w:rsidP="009E31B2">
      <w:pPr>
        <w:rPr>
          <w:rFonts w:ascii="Gill Sans MT" w:hAnsi="Gill Sans MT"/>
          <w:i/>
          <w:iCs/>
        </w:rPr>
      </w:pPr>
      <w:r w:rsidRPr="00867D8F">
        <w:rPr>
          <w:rFonts w:ascii="Gill Sans MT" w:hAnsi="Gill Sans MT"/>
          <w:i/>
          <w:iCs/>
        </w:rPr>
        <w:t>Tuttavia</w:t>
      </w:r>
    </w:p>
    <w:p w14:paraId="32D321D8" w14:textId="37DE909E" w:rsidR="006D00C8" w:rsidRDefault="00867D8F" w:rsidP="009E31B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Chiede di poter integrare l’art. </w:t>
      </w:r>
      <w:r w:rsidR="003B77E3">
        <w:rPr>
          <w:rFonts w:ascii="Gill Sans MT" w:hAnsi="Gill Sans MT"/>
        </w:rPr>
        <w:t xml:space="preserve">2 della proposta di legge, </w:t>
      </w:r>
      <w:r w:rsidR="006D00C8">
        <w:rPr>
          <w:rFonts w:ascii="Gill Sans MT" w:hAnsi="Gill Sans MT"/>
        </w:rPr>
        <w:t>inserendo dopo la parola “</w:t>
      </w:r>
      <w:r w:rsidR="006D00C8" w:rsidRPr="003B77E3">
        <w:rPr>
          <w:rFonts w:ascii="Gill Sans MT" w:hAnsi="Gill Sans MT"/>
          <w:color w:val="808080" w:themeColor="background1" w:themeShade="80"/>
        </w:rPr>
        <w:t>ometta</w:t>
      </w:r>
      <w:r w:rsidR="006D00C8">
        <w:rPr>
          <w:rFonts w:ascii="Gill Sans MT" w:hAnsi="Gill Sans MT"/>
        </w:rPr>
        <w:t>” la seguente “</w:t>
      </w:r>
      <w:r w:rsidR="006D00C8" w:rsidRPr="003B77E3">
        <w:rPr>
          <w:rFonts w:ascii="Gill Sans MT" w:hAnsi="Gill Sans MT"/>
          <w:color w:val="808080" w:themeColor="background1" w:themeShade="80"/>
        </w:rPr>
        <w:t>senza giustificato motivo</w:t>
      </w:r>
      <w:r w:rsidR="006D00C8">
        <w:rPr>
          <w:rFonts w:ascii="Gill Sans MT" w:hAnsi="Gill Sans MT"/>
        </w:rPr>
        <w:t xml:space="preserve">” </w:t>
      </w:r>
    </w:p>
    <w:p w14:paraId="70870D0A" w14:textId="358FCD20" w:rsidR="006D00C8" w:rsidRDefault="003B77E3" w:rsidP="009E31B2">
      <w:pPr>
        <w:rPr>
          <w:rFonts w:ascii="Gill Sans MT" w:hAnsi="Gill Sans MT"/>
        </w:rPr>
      </w:pPr>
      <w:r>
        <w:rPr>
          <w:rFonts w:ascii="Gill Sans MT" w:hAnsi="Gill Sans MT"/>
        </w:rPr>
        <w:t>Ciò i</w:t>
      </w:r>
      <w:r w:rsidR="006D00C8">
        <w:rPr>
          <w:rFonts w:ascii="Gill Sans MT" w:hAnsi="Gill Sans MT"/>
        </w:rPr>
        <w:t xml:space="preserve">n virtù dell’opportunità di considerare non punibili situazioni di fragilità </w:t>
      </w:r>
      <w:r w:rsidR="006D00C8" w:rsidRPr="00EA31BA">
        <w:rPr>
          <w:rFonts w:ascii="Gill Sans MT" w:hAnsi="Gill Sans MT"/>
        </w:rPr>
        <w:t>famigliare</w:t>
      </w:r>
      <w:r w:rsidR="00683828" w:rsidRPr="00EA31BA">
        <w:rPr>
          <w:rFonts w:ascii="Gill Sans MT" w:hAnsi="Gill Sans MT"/>
        </w:rPr>
        <w:t xml:space="preserve"> e/o di salute</w:t>
      </w:r>
      <w:r w:rsidR="006D00C8" w:rsidRPr="00EA31BA">
        <w:rPr>
          <w:rFonts w:ascii="Gill Sans MT" w:hAnsi="Gill Sans MT"/>
        </w:rPr>
        <w:t xml:space="preserve"> per le </w:t>
      </w:r>
      <w:r w:rsidR="006D00C8">
        <w:rPr>
          <w:rFonts w:ascii="Gill Sans MT" w:hAnsi="Gill Sans MT"/>
        </w:rPr>
        <w:t xml:space="preserve">quali il mancato adempimento dell’obbligo </w:t>
      </w:r>
      <w:r>
        <w:rPr>
          <w:rFonts w:ascii="Gill Sans MT" w:hAnsi="Gill Sans MT"/>
        </w:rPr>
        <w:t xml:space="preserve">da parte dei genitori/esercenti la potestà genitoriale, </w:t>
      </w:r>
      <w:r w:rsidR="006D00C8">
        <w:rPr>
          <w:rFonts w:ascii="Gill Sans MT" w:hAnsi="Gill Sans MT"/>
        </w:rPr>
        <w:t>possa essere riconducibile a una condizione sanabile e non dolosa.</w:t>
      </w:r>
    </w:p>
    <w:p w14:paraId="3F61BF2A" w14:textId="77777777" w:rsidR="006D00C8" w:rsidRDefault="006D00C8" w:rsidP="009E31B2">
      <w:pPr>
        <w:rPr>
          <w:rFonts w:ascii="Gill Sans MT" w:hAnsi="Gill Sans MT"/>
        </w:rPr>
      </w:pPr>
    </w:p>
    <w:p w14:paraId="3775D68E" w14:textId="35054E01" w:rsidR="006D00C8" w:rsidRPr="005D3968" w:rsidRDefault="005D3968" w:rsidP="009E31B2">
      <w:pPr>
        <w:rPr>
          <w:rFonts w:ascii="Gill Sans MT" w:hAnsi="Gill Sans MT"/>
          <w:b/>
          <w:bCs/>
        </w:rPr>
      </w:pPr>
      <w:r w:rsidRPr="005D3968">
        <w:rPr>
          <w:rFonts w:ascii="Gill Sans MT" w:hAnsi="Gill Sans MT"/>
          <w:b/>
          <w:bCs/>
        </w:rPr>
        <w:t>Art.</w:t>
      </w:r>
      <w:r>
        <w:rPr>
          <w:rFonts w:ascii="Gill Sans MT" w:hAnsi="Gill Sans MT"/>
          <w:b/>
          <w:bCs/>
        </w:rPr>
        <w:t xml:space="preserve"> </w:t>
      </w:r>
      <w:r w:rsidRPr="005D3968">
        <w:rPr>
          <w:rFonts w:ascii="Gill Sans MT" w:hAnsi="Gill Sans MT"/>
          <w:b/>
          <w:bCs/>
        </w:rPr>
        <w:t>3</w:t>
      </w:r>
    </w:p>
    <w:p w14:paraId="44CECA14" w14:textId="23EF895F" w:rsidR="00902C7C" w:rsidRPr="00E27B95" w:rsidRDefault="00902C7C" w:rsidP="009E31B2">
      <w:pPr>
        <w:rPr>
          <w:rFonts w:ascii="Gill Sans MT" w:hAnsi="Gill Sans MT"/>
          <w:b/>
          <w:bCs/>
        </w:rPr>
      </w:pPr>
      <w:r w:rsidRPr="00E27B95">
        <w:rPr>
          <w:rFonts w:ascii="Gill Sans MT" w:hAnsi="Gill Sans MT"/>
          <w:b/>
          <w:bCs/>
        </w:rPr>
        <w:t>Legge n.71/2017 Cyberbullismo</w:t>
      </w:r>
    </w:p>
    <w:p w14:paraId="17A19E7E" w14:textId="77160140" w:rsidR="00155FF8" w:rsidRDefault="00155FF8" w:rsidP="009E31B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Terre des Hommes è in </w:t>
      </w:r>
      <w:r w:rsidR="00902C7C" w:rsidRPr="00E27B95">
        <w:rPr>
          <w:rFonts w:ascii="Gill Sans MT" w:hAnsi="Gill Sans MT"/>
        </w:rPr>
        <w:t xml:space="preserve">linea con il complessivo impianto di modifiche proposte, </w:t>
      </w:r>
      <w:r>
        <w:rPr>
          <w:rFonts w:ascii="Gill Sans MT" w:hAnsi="Gill Sans MT"/>
        </w:rPr>
        <w:t>soprattutto in riferimento all’ampliamento complessivo della disciplina al fenomeno del bullismo.</w:t>
      </w:r>
    </w:p>
    <w:p w14:paraId="596D1D4C" w14:textId="77777777" w:rsidR="00EA31BA" w:rsidRDefault="00EA31BA" w:rsidP="009E31B2">
      <w:pPr>
        <w:rPr>
          <w:rFonts w:ascii="Gill Sans MT" w:hAnsi="Gill Sans MT"/>
          <w:i/>
          <w:iCs/>
        </w:rPr>
      </w:pPr>
    </w:p>
    <w:p w14:paraId="743FD93F" w14:textId="77777777" w:rsidR="00EA31BA" w:rsidRDefault="00EA31BA" w:rsidP="009E31B2">
      <w:pPr>
        <w:rPr>
          <w:rFonts w:ascii="Gill Sans MT" w:hAnsi="Gill Sans MT"/>
          <w:i/>
          <w:iCs/>
        </w:rPr>
      </w:pPr>
    </w:p>
    <w:p w14:paraId="48C6EEA6" w14:textId="49FA5448" w:rsidR="00155FF8" w:rsidRPr="00155FF8" w:rsidRDefault="00155FF8" w:rsidP="009E31B2">
      <w:pPr>
        <w:rPr>
          <w:rFonts w:ascii="Gill Sans MT" w:hAnsi="Gill Sans MT"/>
          <w:i/>
          <w:iCs/>
        </w:rPr>
      </w:pPr>
      <w:r w:rsidRPr="00155FF8">
        <w:rPr>
          <w:rFonts w:ascii="Gill Sans MT" w:hAnsi="Gill Sans MT"/>
          <w:i/>
          <w:iCs/>
        </w:rPr>
        <w:t>Tuttavia, si propongono, le seguenti integrazioni:</w:t>
      </w:r>
    </w:p>
    <w:p w14:paraId="25B9E812" w14:textId="33AF8FE1" w:rsidR="00155FF8" w:rsidRDefault="00155FF8" w:rsidP="009E31B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Art. 4 bis </w:t>
      </w:r>
    </w:p>
    <w:p w14:paraId="712F6A6D" w14:textId="23A9D4F2" w:rsidR="00155FF8" w:rsidRDefault="00155FF8" w:rsidP="009E31B2">
      <w:pPr>
        <w:rPr>
          <w:rFonts w:ascii="Gill Sans MT" w:hAnsi="Gill Sans MT"/>
        </w:rPr>
      </w:pPr>
      <w:r>
        <w:rPr>
          <w:rFonts w:ascii="Gill Sans MT" w:hAnsi="Gill Sans MT"/>
        </w:rPr>
        <w:t>Inserire dopo la parola “</w:t>
      </w:r>
      <w:r w:rsidRPr="00155FF8">
        <w:rPr>
          <w:rFonts w:ascii="Gill Sans MT" w:hAnsi="Gill Sans MT"/>
          <w:color w:val="808080" w:themeColor="background1" w:themeShade="80"/>
        </w:rPr>
        <w:t>psicologico</w:t>
      </w:r>
      <w:r>
        <w:rPr>
          <w:rFonts w:ascii="Gill Sans MT" w:hAnsi="Gill Sans MT"/>
        </w:rPr>
        <w:t>” la frase “</w:t>
      </w:r>
      <w:r w:rsidRPr="00155FF8">
        <w:rPr>
          <w:rFonts w:ascii="Gill Sans MT" w:hAnsi="Gill Sans MT"/>
          <w:color w:val="808080" w:themeColor="background1" w:themeShade="80"/>
        </w:rPr>
        <w:t>e legale</w:t>
      </w:r>
      <w:r>
        <w:rPr>
          <w:rFonts w:ascii="Gill Sans MT" w:hAnsi="Gill Sans MT"/>
        </w:rPr>
        <w:t>” così da prevedere un intervento consulenziale ad ampio spettro in favore di studenti, che possa aiutarli ad accrescere la propria comprensione e senso critico circa i rischi, le conseguenze e le responsabilità, che necessariamente derivano da comportamenti riconducibili nell’alveo del bullismo e/o cyberbullismo.</w:t>
      </w:r>
    </w:p>
    <w:p w14:paraId="4BF3C723" w14:textId="23802EE4" w:rsidR="00155FF8" w:rsidRPr="00EA31BA" w:rsidRDefault="00683828" w:rsidP="009E31B2">
      <w:pPr>
        <w:rPr>
          <w:rFonts w:ascii="Gill Sans MT" w:hAnsi="Gill Sans MT"/>
        </w:rPr>
      </w:pPr>
      <w:r w:rsidRPr="00EA31BA">
        <w:rPr>
          <w:rFonts w:ascii="Gill Sans MT" w:hAnsi="Gill Sans MT"/>
        </w:rPr>
        <w:t>Le norme oggi esistenti così come eventualmente modificate dalla presente pro</w:t>
      </w:r>
      <w:r w:rsidR="00770DAA" w:rsidRPr="00EA31BA">
        <w:rPr>
          <w:rFonts w:ascii="Gill Sans MT" w:hAnsi="Gill Sans MT"/>
        </w:rPr>
        <w:t>posta di legge</w:t>
      </w:r>
      <w:r w:rsidR="00BB6E25">
        <w:rPr>
          <w:rFonts w:ascii="Gill Sans MT" w:hAnsi="Gill Sans MT"/>
        </w:rPr>
        <w:t>,</w:t>
      </w:r>
      <w:r w:rsidR="00770DAA" w:rsidRPr="00EA31BA">
        <w:rPr>
          <w:rFonts w:ascii="Gill Sans MT" w:hAnsi="Gill Sans MT"/>
        </w:rPr>
        <w:t xml:space="preserve"> delineano un complesso sistema di diritti e doveri che devono essere conosciuti </w:t>
      </w:r>
      <w:r w:rsidR="00770DAA" w:rsidRPr="00EA31BA">
        <w:rPr>
          <w:rFonts w:ascii="Gill Sans MT" w:hAnsi="Gill Sans MT"/>
          <w:i/>
          <w:iCs/>
        </w:rPr>
        <w:t>in primis</w:t>
      </w:r>
      <w:r w:rsidR="00770DAA" w:rsidRPr="00EA31BA">
        <w:rPr>
          <w:rFonts w:ascii="Gill Sans MT" w:hAnsi="Gill Sans MT"/>
        </w:rPr>
        <w:t xml:space="preserve"> dagli studenti e dalle studentesse che dai 14 anni in su possono sporgere querela in proprio, possono essere imputabili e hanno bisogno in generale di conoscere i confini, anche legali, delle proprie azioni fuori e dentro la Rete (dalla creazione di falsi profili, alla navigazione con proxy, fino alle conseguenze di offese, didascalie scritte in chat o altro). </w:t>
      </w:r>
    </w:p>
    <w:p w14:paraId="6D1F01F4" w14:textId="77777777" w:rsidR="00683828" w:rsidRPr="00770DAA" w:rsidRDefault="00683828" w:rsidP="009E31B2">
      <w:pPr>
        <w:rPr>
          <w:rFonts w:ascii="Gill Sans MT" w:hAnsi="Gill Sans MT"/>
          <w:color w:val="FF0000"/>
        </w:rPr>
      </w:pPr>
    </w:p>
    <w:p w14:paraId="33FEE2A0" w14:textId="7DA197D5" w:rsidR="00155FF8" w:rsidRDefault="00155FF8" w:rsidP="009E31B2">
      <w:pPr>
        <w:rPr>
          <w:rFonts w:ascii="Gill Sans MT" w:hAnsi="Gill Sans MT"/>
        </w:rPr>
      </w:pPr>
      <w:r>
        <w:rPr>
          <w:rFonts w:ascii="Gill Sans MT" w:hAnsi="Gill Sans MT"/>
        </w:rPr>
        <w:t>Art. 5 comma 1</w:t>
      </w:r>
    </w:p>
    <w:p w14:paraId="3B4AB307" w14:textId="6638265E" w:rsidR="00155FF8" w:rsidRPr="00EA31BA" w:rsidRDefault="00155FF8" w:rsidP="009E31B2">
      <w:pPr>
        <w:rPr>
          <w:rFonts w:ascii="Gill Sans MT" w:hAnsi="Gill Sans MT"/>
        </w:rPr>
      </w:pPr>
      <w:r>
        <w:rPr>
          <w:rFonts w:ascii="Gill Sans MT" w:hAnsi="Gill Sans MT"/>
        </w:rPr>
        <w:t>Dopo le parole “</w:t>
      </w:r>
      <w:r w:rsidRPr="00155FF8">
        <w:rPr>
          <w:rFonts w:ascii="Gill Sans MT" w:hAnsi="Gill Sans MT"/>
          <w:color w:val="808080" w:themeColor="background1" w:themeShade="80"/>
        </w:rPr>
        <w:t>studenti iscritti all’istituto scolastico</w:t>
      </w:r>
      <w:r>
        <w:rPr>
          <w:rFonts w:ascii="Gill Sans MT" w:hAnsi="Gill Sans MT"/>
        </w:rPr>
        <w:t>” aggiungere “</w:t>
      </w:r>
      <w:r w:rsidRPr="00155FF8">
        <w:rPr>
          <w:rFonts w:ascii="Gill Sans MT" w:hAnsi="Gill Sans MT"/>
          <w:color w:val="808080" w:themeColor="background1" w:themeShade="80"/>
        </w:rPr>
        <w:t>anche fuori dall’orario scolastico</w:t>
      </w:r>
      <w:r>
        <w:rPr>
          <w:rFonts w:ascii="Gill Sans MT" w:hAnsi="Gill Sans MT"/>
        </w:rPr>
        <w:t>”</w:t>
      </w:r>
      <w:r w:rsidR="00950855">
        <w:rPr>
          <w:rFonts w:ascii="Gill Sans MT" w:hAnsi="Gill Sans MT"/>
        </w:rPr>
        <w:t xml:space="preserve"> e </w:t>
      </w:r>
      <w:r w:rsidR="00950855" w:rsidRPr="00EA31BA">
        <w:rPr>
          <w:rFonts w:ascii="Gill Sans MT" w:hAnsi="Gill Sans MT"/>
        </w:rPr>
        <w:t>“</w:t>
      </w:r>
      <w:r w:rsidR="00950855" w:rsidRPr="00BB6E25">
        <w:rPr>
          <w:rFonts w:ascii="Gill Sans MT" w:hAnsi="Gill Sans MT"/>
          <w:color w:val="A6A6A6" w:themeColor="background1" w:themeShade="A6"/>
        </w:rPr>
        <w:t>anche maggiorenni</w:t>
      </w:r>
      <w:r w:rsidR="00950855" w:rsidRPr="00EA31BA">
        <w:rPr>
          <w:rFonts w:ascii="Gill Sans MT" w:hAnsi="Gill Sans MT"/>
        </w:rPr>
        <w:t xml:space="preserve">”, includendo espressamente nel novero degli interventi auspicabili dai dirigenti scolastici anche gli studenti non più minorenni. </w:t>
      </w:r>
      <w:r w:rsidR="00BB6E25">
        <w:rPr>
          <w:rFonts w:ascii="Gill Sans MT" w:hAnsi="Gill Sans MT"/>
        </w:rPr>
        <w:t>Tutte le disposizioni di carattere preventivo ed educativo dovrebbero infatti essere estese anche agli studenti maggiorenni, colmando una lacuna della L.71/2017 che invece fa espresso riferimento soltanto ai minorenni.</w:t>
      </w:r>
    </w:p>
    <w:p w14:paraId="26D139E9" w14:textId="08352C55" w:rsidR="00155FF8" w:rsidRDefault="00155FF8" w:rsidP="009E31B2">
      <w:pPr>
        <w:rPr>
          <w:rFonts w:ascii="Gill Sans MT" w:hAnsi="Gill Sans MT"/>
        </w:rPr>
      </w:pPr>
      <w:r w:rsidRPr="00EA31BA">
        <w:rPr>
          <w:rFonts w:ascii="Gill Sans MT" w:hAnsi="Gill Sans MT"/>
        </w:rPr>
        <w:t>Tal</w:t>
      </w:r>
      <w:r w:rsidR="00BB6E25">
        <w:rPr>
          <w:rFonts w:ascii="Gill Sans MT" w:hAnsi="Gill Sans MT"/>
        </w:rPr>
        <w:t>i</w:t>
      </w:r>
      <w:r w:rsidRPr="00EA31BA">
        <w:rPr>
          <w:rFonts w:ascii="Gill Sans MT" w:hAnsi="Gill Sans MT"/>
        </w:rPr>
        <w:t xml:space="preserve"> </w:t>
      </w:r>
      <w:r w:rsidR="0010338F" w:rsidRPr="00EA31BA">
        <w:rPr>
          <w:rFonts w:ascii="Gill Sans MT" w:hAnsi="Gill Sans MT"/>
        </w:rPr>
        <w:t>richiest</w:t>
      </w:r>
      <w:r w:rsidR="00BB6E25">
        <w:rPr>
          <w:rFonts w:ascii="Gill Sans MT" w:hAnsi="Gill Sans MT"/>
        </w:rPr>
        <w:t>e</w:t>
      </w:r>
      <w:r w:rsidR="0010338F" w:rsidRPr="00EA31BA">
        <w:rPr>
          <w:rFonts w:ascii="Gill Sans MT" w:hAnsi="Gill Sans MT"/>
        </w:rPr>
        <w:t xml:space="preserve"> nasc</w:t>
      </w:r>
      <w:r w:rsidR="00BB6E25">
        <w:rPr>
          <w:rFonts w:ascii="Gill Sans MT" w:hAnsi="Gill Sans MT"/>
        </w:rPr>
        <w:t>ono</w:t>
      </w:r>
      <w:r w:rsidR="0010338F" w:rsidRPr="00EA31BA">
        <w:rPr>
          <w:rFonts w:ascii="Gill Sans MT" w:hAnsi="Gill Sans MT"/>
        </w:rPr>
        <w:t xml:space="preserve"> dall’esperienza in base alla quale l’istituto scolastico coinvolto </w:t>
      </w:r>
      <w:r w:rsidR="00770DAA" w:rsidRPr="00EA31BA">
        <w:rPr>
          <w:rFonts w:ascii="Gill Sans MT" w:hAnsi="Gill Sans MT"/>
        </w:rPr>
        <w:t xml:space="preserve">spesso tende a </w:t>
      </w:r>
      <w:r w:rsidR="0010338F" w:rsidRPr="00EA31BA">
        <w:rPr>
          <w:rFonts w:ascii="Gill Sans MT" w:hAnsi="Gill Sans MT"/>
        </w:rPr>
        <w:t>nega</w:t>
      </w:r>
      <w:r w:rsidR="00770DAA" w:rsidRPr="00EA31BA">
        <w:rPr>
          <w:rFonts w:ascii="Gill Sans MT" w:hAnsi="Gill Sans MT"/>
        </w:rPr>
        <w:t>re</w:t>
      </w:r>
      <w:r w:rsidR="0010338F" w:rsidRPr="00EA31BA">
        <w:rPr>
          <w:rFonts w:ascii="Gill Sans MT" w:hAnsi="Gill Sans MT"/>
        </w:rPr>
        <w:t xml:space="preserve"> la propria collaborazione</w:t>
      </w:r>
      <w:r w:rsidR="00770DAA" w:rsidRPr="00EA31BA">
        <w:rPr>
          <w:rFonts w:ascii="Gill Sans MT" w:hAnsi="Gill Sans MT"/>
        </w:rPr>
        <w:t xml:space="preserve"> e/o interventi rieducativi</w:t>
      </w:r>
      <w:r w:rsidR="0010338F" w:rsidRPr="00EA31BA">
        <w:rPr>
          <w:rFonts w:ascii="Gill Sans MT" w:hAnsi="Gill Sans MT"/>
        </w:rPr>
        <w:t xml:space="preserve"> </w:t>
      </w:r>
      <w:r w:rsidR="00770DAA" w:rsidRPr="00EA31BA">
        <w:rPr>
          <w:rFonts w:ascii="Gill Sans MT" w:hAnsi="Gill Sans MT"/>
        </w:rPr>
        <w:t>quando</w:t>
      </w:r>
      <w:r w:rsidR="0010338F" w:rsidRPr="00EA31BA">
        <w:rPr>
          <w:rFonts w:ascii="Gill Sans MT" w:hAnsi="Gill Sans MT"/>
        </w:rPr>
        <w:t xml:space="preserve"> il fatto è accaduto al di fuori dell’orario scolastico, </w:t>
      </w:r>
      <w:r w:rsidR="0010338F">
        <w:rPr>
          <w:rFonts w:ascii="Gill Sans MT" w:hAnsi="Gill Sans MT"/>
        </w:rPr>
        <w:t>pur se ad opera di studenti del proprio istituto.</w:t>
      </w:r>
    </w:p>
    <w:p w14:paraId="3E6D1F0A" w14:textId="7B4C8EFB" w:rsidR="0010338F" w:rsidRDefault="0010338F" w:rsidP="009E31B2">
      <w:pPr>
        <w:rPr>
          <w:rFonts w:ascii="Gill Sans MT" w:hAnsi="Gill Sans MT"/>
        </w:rPr>
      </w:pPr>
    </w:p>
    <w:p w14:paraId="1BE10B4E" w14:textId="0C71009A" w:rsidR="005D3968" w:rsidRPr="005D3968" w:rsidRDefault="005D3968" w:rsidP="009E31B2">
      <w:pPr>
        <w:rPr>
          <w:rFonts w:ascii="Gill Sans MT" w:hAnsi="Gill Sans MT"/>
          <w:b/>
          <w:bCs/>
        </w:rPr>
      </w:pPr>
      <w:r w:rsidRPr="005D3968">
        <w:rPr>
          <w:rFonts w:ascii="Gill Sans MT" w:hAnsi="Gill Sans MT"/>
          <w:b/>
          <w:bCs/>
        </w:rPr>
        <w:t>Art. 4</w:t>
      </w:r>
    </w:p>
    <w:p w14:paraId="78598C29" w14:textId="3EE94B1D" w:rsidR="005D3968" w:rsidRPr="00BB6E25" w:rsidRDefault="0010338F" w:rsidP="009E31B2">
      <w:pPr>
        <w:rPr>
          <w:rFonts w:ascii="Gill Sans MT" w:hAnsi="Gill Sans MT"/>
          <w:b/>
          <w:bCs/>
        </w:rPr>
      </w:pPr>
      <w:r w:rsidRPr="005D3968">
        <w:rPr>
          <w:rFonts w:ascii="Gill Sans MT" w:hAnsi="Gill Sans MT"/>
          <w:b/>
          <w:bCs/>
        </w:rPr>
        <w:t>Modifiche al regio decreto – legge 20 luglio 1934, convertito con modificazioni della legge 27 maggio 1935 n.835.</w:t>
      </w:r>
    </w:p>
    <w:p w14:paraId="13D68851" w14:textId="6630C745" w:rsidR="0010338F" w:rsidRDefault="0010338F" w:rsidP="009E31B2">
      <w:pPr>
        <w:rPr>
          <w:rFonts w:ascii="Gill Sans MT" w:hAnsi="Gill Sans MT"/>
        </w:rPr>
      </w:pPr>
      <w:r>
        <w:rPr>
          <w:rFonts w:ascii="Gill Sans MT" w:hAnsi="Gill Sans MT"/>
        </w:rPr>
        <w:t>Art. 25</w:t>
      </w:r>
    </w:p>
    <w:p w14:paraId="0965C1D9" w14:textId="7AF25D11" w:rsidR="0010338F" w:rsidRDefault="0010338F" w:rsidP="009E31B2">
      <w:pPr>
        <w:rPr>
          <w:rFonts w:ascii="Gill Sans MT" w:hAnsi="Gill Sans MT"/>
        </w:rPr>
      </w:pPr>
      <w:r>
        <w:rPr>
          <w:rFonts w:ascii="Gill Sans MT" w:hAnsi="Gill Sans MT"/>
        </w:rPr>
        <w:t>Si propone di inserire dopo la frase “</w:t>
      </w:r>
      <w:r w:rsidRPr="0010338F">
        <w:rPr>
          <w:rFonts w:ascii="Gill Sans MT" w:hAnsi="Gill Sans MT"/>
          <w:color w:val="808080" w:themeColor="background1" w:themeShade="80"/>
        </w:rPr>
        <w:t>anche in gruppo</w:t>
      </w:r>
      <w:r>
        <w:rPr>
          <w:rFonts w:ascii="Gill Sans MT" w:hAnsi="Gill Sans MT"/>
        </w:rPr>
        <w:t>” la frase “</w:t>
      </w:r>
      <w:r w:rsidRPr="0010338F">
        <w:rPr>
          <w:rFonts w:ascii="Gill Sans MT" w:hAnsi="Gill Sans MT"/>
          <w:color w:val="808080" w:themeColor="background1" w:themeShade="80"/>
        </w:rPr>
        <w:t>anche per via telematica</w:t>
      </w:r>
      <w:r>
        <w:rPr>
          <w:rFonts w:ascii="Gill Sans MT" w:hAnsi="Gill Sans MT"/>
        </w:rPr>
        <w:t>”.</w:t>
      </w:r>
    </w:p>
    <w:p w14:paraId="319079DA" w14:textId="7A3C3C6C" w:rsidR="0010338F" w:rsidRDefault="0010338F" w:rsidP="009E31B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Tale proposta nasce dalla necessità di includere nelle misure rieducative </w:t>
      </w:r>
      <w:r w:rsidRPr="00EA31BA">
        <w:rPr>
          <w:rFonts w:ascii="Gill Sans MT" w:hAnsi="Gill Sans MT"/>
        </w:rPr>
        <w:t xml:space="preserve">anche </w:t>
      </w:r>
      <w:r w:rsidR="00770DAA" w:rsidRPr="00EA31BA">
        <w:rPr>
          <w:rFonts w:ascii="Gill Sans MT" w:hAnsi="Gill Sans MT"/>
        </w:rPr>
        <w:t xml:space="preserve">i </w:t>
      </w:r>
      <w:r w:rsidRPr="00EA31BA">
        <w:rPr>
          <w:rFonts w:ascii="Gill Sans MT" w:hAnsi="Gill Sans MT"/>
        </w:rPr>
        <w:t>minor</w:t>
      </w:r>
      <w:r w:rsidR="00770DAA" w:rsidRPr="00EA31BA">
        <w:rPr>
          <w:rFonts w:ascii="Gill Sans MT" w:hAnsi="Gill Sans MT"/>
        </w:rPr>
        <w:t>enni</w:t>
      </w:r>
      <w:r w:rsidRPr="00EA31BA">
        <w:rPr>
          <w:rFonts w:ascii="Gill Sans MT" w:hAnsi="Gill Sans MT"/>
        </w:rPr>
        <w:t xml:space="preserve"> che </w:t>
      </w:r>
      <w:r>
        <w:rPr>
          <w:rFonts w:ascii="Gill Sans MT" w:hAnsi="Gill Sans MT"/>
        </w:rPr>
        <w:t>possono aver manifestato una condotta irregolare ovvero aggressiva, utilizzando i mezzi telematici, così da estendere la disposizione della norma anche alla fattispecie del cyberbullismo.</w:t>
      </w:r>
    </w:p>
    <w:p w14:paraId="49FB7844" w14:textId="77777777" w:rsidR="00950855" w:rsidRPr="00770DAA" w:rsidRDefault="00950855" w:rsidP="009E31B2">
      <w:pPr>
        <w:rPr>
          <w:rFonts w:ascii="Gill Sans MT" w:hAnsi="Gill Sans MT"/>
          <w:strike/>
          <w:color w:val="FF0000"/>
        </w:rPr>
      </w:pPr>
    </w:p>
    <w:p w14:paraId="7988A4D6" w14:textId="715468FF" w:rsidR="00155FF8" w:rsidRDefault="00527E55" w:rsidP="009E31B2">
      <w:pPr>
        <w:rPr>
          <w:rFonts w:ascii="Gill Sans MT" w:hAnsi="Gill Sans MT"/>
        </w:rPr>
      </w:pPr>
      <w:r>
        <w:rPr>
          <w:rFonts w:ascii="Gill Sans MT" w:hAnsi="Gill Sans MT"/>
        </w:rPr>
        <w:t>Ulteriore possibile modifica</w:t>
      </w:r>
    </w:p>
    <w:p w14:paraId="4E4CEA88" w14:textId="78DE248D" w:rsidR="00527E55" w:rsidRPr="00EA31BA" w:rsidRDefault="00527E55" w:rsidP="009E31B2">
      <w:pPr>
        <w:rPr>
          <w:rFonts w:ascii="Gill Sans MT" w:hAnsi="Gill Sans MT"/>
        </w:rPr>
      </w:pPr>
      <w:r w:rsidRPr="00EA31BA">
        <w:rPr>
          <w:rFonts w:ascii="Gill Sans MT" w:hAnsi="Gill Sans MT"/>
        </w:rPr>
        <w:t>L’art. 7 della L. 71/2017 potrebbe essere modificato, unitamente all’art. 361 c.p. (omessa denuncia di reato da parte del pubblico ufficiale), nel senso di non obbligare il Questore o il funzionario delegato, quando durante l’Ammonimento rilevino un reato procedibile d’ufficio (ad esempio atti persecutori ai danni dei minorenni) a comunicare il fatto all’autorità giudiziaria. Di fatto oggi esiste un contrasto tra la finalità preventiva dell’Ammonimento al Questore previsto per i casi di cyberbullismo e l’obbligo di denuncia da parte del pubblico ufficiale che venga a conoscenza di reati procedibili d’ufficio. Un problema difficilmente superabile se non attraverso una deroga espressa prevista dalla legge, che potrebbe avere anche l’effetto di incentivare il ricorso a uno strumento amministrativo oggi ancora poco utilizzato.</w:t>
      </w:r>
    </w:p>
    <w:p w14:paraId="0B1B18A5" w14:textId="29925F9A" w:rsidR="00902C7C" w:rsidRPr="00527E55" w:rsidRDefault="00902C7C" w:rsidP="009E31B2">
      <w:pPr>
        <w:rPr>
          <w:rFonts w:ascii="Gill Sans MT" w:hAnsi="Gill Sans MT"/>
          <w:color w:val="FF0000"/>
        </w:rPr>
      </w:pPr>
    </w:p>
    <w:sectPr w:rsidR="00902C7C" w:rsidRPr="00527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C0F"/>
    <w:multiLevelType w:val="hybridMultilevel"/>
    <w:tmpl w:val="8632D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5E02"/>
    <w:multiLevelType w:val="hybridMultilevel"/>
    <w:tmpl w:val="5CAA7FEE"/>
    <w:lvl w:ilvl="0" w:tplc="031ECE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2"/>
    <w:rsid w:val="0010338F"/>
    <w:rsid w:val="00155FF8"/>
    <w:rsid w:val="001E2DCC"/>
    <w:rsid w:val="00203EDE"/>
    <w:rsid w:val="00212DDA"/>
    <w:rsid w:val="0022257A"/>
    <w:rsid w:val="00302515"/>
    <w:rsid w:val="00352781"/>
    <w:rsid w:val="003B77E3"/>
    <w:rsid w:val="003E7152"/>
    <w:rsid w:val="0046497F"/>
    <w:rsid w:val="00527E55"/>
    <w:rsid w:val="00563132"/>
    <w:rsid w:val="005D3968"/>
    <w:rsid w:val="0060677E"/>
    <w:rsid w:val="00683828"/>
    <w:rsid w:val="006D00C8"/>
    <w:rsid w:val="00770DAA"/>
    <w:rsid w:val="00830A69"/>
    <w:rsid w:val="00851D0B"/>
    <w:rsid w:val="00867D8F"/>
    <w:rsid w:val="00902C7C"/>
    <w:rsid w:val="00937245"/>
    <w:rsid w:val="00950855"/>
    <w:rsid w:val="009E31B2"/>
    <w:rsid w:val="00AA1127"/>
    <w:rsid w:val="00AA44AE"/>
    <w:rsid w:val="00BB6E25"/>
    <w:rsid w:val="00C1748F"/>
    <w:rsid w:val="00C40844"/>
    <w:rsid w:val="00E27B95"/>
    <w:rsid w:val="00E659C2"/>
    <w:rsid w:val="00EA31BA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E997"/>
  <w15:chartTrackingRefBased/>
  <w15:docId w15:val="{267B1944-A4F9-451E-A3B3-097201E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15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7B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Marisa Marraffino Marraffino</dc:creator>
  <cp:keywords/>
  <dc:description/>
  <cp:lastModifiedBy>Cdd</cp:lastModifiedBy>
  <cp:revision>2</cp:revision>
  <cp:lastPrinted>2023-02-28T11:46:00Z</cp:lastPrinted>
  <dcterms:created xsi:type="dcterms:W3CDTF">2023-02-28T11:47:00Z</dcterms:created>
  <dcterms:modified xsi:type="dcterms:W3CDTF">2023-02-28T11:47:00Z</dcterms:modified>
</cp:coreProperties>
</file>