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BE792" w14:textId="77777777" w:rsidR="00A80535" w:rsidRDefault="00000000">
      <w:pPr>
        <w:spacing w:after="40" w:line="300" w:lineRule="auto"/>
        <w:jc w:val="center"/>
      </w:pPr>
      <w:r>
        <w:rPr>
          <w:b/>
          <w:bCs/>
          <w:caps/>
          <w:sz w:val="26"/>
          <w:szCs w:val="26"/>
        </w:rPr>
        <w:t>Camera dei Deputati</w:t>
      </w:r>
    </w:p>
    <w:p w14:paraId="515F861C" w14:textId="77777777" w:rsidR="00A80535" w:rsidRDefault="00000000">
      <w:pPr>
        <w:spacing w:after="200" w:line="300" w:lineRule="auto"/>
        <w:jc w:val="center"/>
      </w:pPr>
      <w:r>
        <w:rPr>
          <w:b/>
          <w:bCs/>
          <w:sz w:val="22"/>
          <w:szCs w:val="22"/>
        </w:rPr>
        <w:t>II Commissione permanente — Giustizia</w:t>
      </w:r>
    </w:p>
    <w:p w14:paraId="5AA485E4" w14:textId="585F6A7A" w:rsidR="00A80535" w:rsidRDefault="00000000" w:rsidP="00DB6241">
      <w:pPr>
        <w:spacing w:after="40" w:line="300" w:lineRule="auto"/>
        <w:jc w:val="both"/>
      </w:pPr>
      <w:r>
        <w:rPr>
          <w:b/>
          <w:bCs/>
        </w:rPr>
        <w:t>Atto del Governo n. 411</w:t>
      </w:r>
      <w:r w:rsidR="00DB6241">
        <w:t xml:space="preserve"> </w:t>
      </w:r>
      <w:r>
        <w:rPr>
          <w:i/>
          <w:iCs/>
          <w:sz w:val="22"/>
          <w:szCs w:val="22"/>
        </w:rPr>
        <w:t>Schema di decreto legislativo recante completo adeguamento della normativa nazionale alle disposizioni del regolamento (UE) 2023/1543, relativo agli ordini europei di produzione e agli ordini europei di conservazione di prove elettroniche nei procedimenti penali e per l’esecuzione di pene detentive a seguito di procedimenti penali</w:t>
      </w:r>
    </w:p>
    <w:p w14:paraId="73251AF5" w14:textId="44576704" w:rsidR="00DB6241" w:rsidRDefault="00000000" w:rsidP="00DB6241">
      <w:pPr>
        <w:spacing w:after="60" w:line="300" w:lineRule="auto"/>
      </w:pPr>
      <w:r>
        <w:rPr>
          <w:b/>
          <w:bCs/>
        </w:rPr>
        <w:t xml:space="preserve">Contributo scritto </w:t>
      </w:r>
      <w:r w:rsidR="00B719F6">
        <w:rPr>
          <w:b/>
          <w:bCs/>
        </w:rPr>
        <w:t>per l’</w:t>
      </w:r>
      <w:r>
        <w:rPr>
          <w:b/>
          <w:bCs/>
        </w:rPr>
        <w:t>audizione</w:t>
      </w:r>
      <w:r w:rsidR="00DB6241">
        <w:t xml:space="preserve"> </w:t>
      </w:r>
      <w:r>
        <w:t>di Giovanni Tartaglia Polcini</w:t>
      </w:r>
      <w:r w:rsidR="00DB6241">
        <w:t xml:space="preserve"> </w:t>
      </w:r>
      <w:r w:rsidR="003F7882">
        <w:t xml:space="preserve">     -    </w:t>
      </w:r>
      <w:r>
        <w:rPr>
          <w:i/>
          <w:iCs/>
          <w:sz w:val="22"/>
          <w:szCs w:val="22"/>
        </w:rPr>
        <w:t xml:space="preserve">Roma, </w:t>
      </w:r>
      <w:r w:rsidR="00B719F6">
        <w:rPr>
          <w:i/>
          <w:iCs/>
          <w:sz w:val="22"/>
          <w:szCs w:val="22"/>
        </w:rPr>
        <w:t xml:space="preserve">8 </w:t>
      </w:r>
      <w:r>
        <w:rPr>
          <w:i/>
          <w:iCs/>
          <w:sz w:val="22"/>
          <w:szCs w:val="22"/>
        </w:rPr>
        <w:t>luglio 2026</w:t>
      </w:r>
    </w:p>
    <w:p w14:paraId="20C93A5C" w14:textId="7AAED239" w:rsidR="00A80535" w:rsidRDefault="00000000">
      <w:pPr>
        <w:pStyle w:val="Titolo1"/>
        <w:keepNext/>
      </w:pPr>
      <w:r>
        <w:t xml:space="preserve">1. </w:t>
      </w:r>
      <w:r w:rsidR="00B36B41">
        <w:t xml:space="preserve">Osservazioni </w:t>
      </w:r>
      <w:r w:rsidR="00B719F6">
        <w:t>di ordine generale</w:t>
      </w:r>
    </w:p>
    <w:p w14:paraId="62D0A4ED" w14:textId="0DB6E600" w:rsidR="00A80535" w:rsidRDefault="00000000" w:rsidP="009307AE">
      <w:pPr>
        <w:spacing w:after="160" w:line="300" w:lineRule="auto"/>
        <w:jc w:val="both"/>
      </w:pPr>
      <w:r>
        <w:t>Signor Presidente, Onorevoli Deputati, desidero anzitutto ringraziare la Commissione per l’invito</w:t>
      </w:r>
      <w:r w:rsidR="00917B84">
        <w:t xml:space="preserve"> a contribuire in audizione</w:t>
      </w:r>
      <w:r w:rsidR="00B719F6">
        <w:t xml:space="preserve"> ai lavori</w:t>
      </w:r>
      <w:r>
        <w:t xml:space="preserve"> sull’Atto del Governo n. 411. Nel farlo, ritengo doveroso </w:t>
      </w:r>
      <w:r w:rsidR="00917B84">
        <w:t xml:space="preserve">innanzitutto </w:t>
      </w:r>
      <w:r>
        <w:t>circoscrivere l’oggetto</w:t>
      </w:r>
      <w:r w:rsidR="00917B84">
        <w:t xml:space="preserve"> del mio intervento</w:t>
      </w:r>
      <w:r>
        <w:t>, affinché l’apporto risulti utile</w:t>
      </w:r>
      <w:r w:rsidR="00B719F6">
        <w:t xml:space="preserve">, </w:t>
      </w:r>
      <w:r>
        <w:t>senza sovrapporsi alle valutazioni che competono ad altre</w:t>
      </w:r>
      <w:r w:rsidR="00917B84">
        <w:t xml:space="preserve"> istituzioni ed amministrazioni</w:t>
      </w:r>
      <w:r>
        <w:t>.</w:t>
      </w:r>
    </w:p>
    <w:p w14:paraId="3B1ACFF0" w14:textId="77777777" w:rsidR="00917B84" w:rsidRDefault="00000000" w:rsidP="009307AE">
      <w:pPr>
        <w:spacing w:after="160" w:line="300" w:lineRule="auto"/>
        <w:jc w:val="both"/>
      </w:pPr>
      <w:r>
        <w:t>Lo schema in esame costituisce il secondo e conclusivo segmento dell’</w:t>
      </w:r>
      <w:r w:rsidRPr="00917B84">
        <w:rPr>
          <w:b/>
          <w:bCs/>
        </w:rPr>
        <w:t>adeguamento</w:t>
      </w:r>
      <w:r>
        <w:t xml:space="preserve"> dell’ordinamento interno al regolamento (UE) 2023/1543. </w:t>
      </w:r>
    </w:p>
    <w:p w14:paraId="77DFC798" w14:textId="77777777" w:rsidR="003F7882" w:rsidRDefault="00000000" w:rsidP="009307AE">
      <w:pPr>
        <w:spacing w:after="160" w:line="300" w:lineRule="auto"/>
        <w:jc w:val="both"/>
      </w:pPr>
      <w:r>
        <w:t xml:space="preserve">La </w:t>
      </w:r>
      <w:r w:rsidRPr="00917B84">
        <w:rPr>
          <w:b/>
          <w:bCs/>
        </w:rPr>
        <w:t>prima fase</w:t>
      </w:r>
      <w:r>
        <w:t xml:space="preserve"> è stata realizzata con il decreto legislativo 30 dicembre 2025, n. 215, che, in attuazione dei criteri di delega di cui all’articolo 19, comma 2, lettere a), b), c), d), e), i), l), p) e q), della legge 13 giugno 2025, n. 91, </w:t>
      </w:r>
    </w:p>
    <w:p w14:paraId="57D79DEF" w14:textId="77777777" w:rsidR="003F7882" w:rsidRDefault="003F7882" w:rsidP="009307AE">
      <w:pPr>
        <w:spacing w:after="160" w:line="300" w:lineRule="auto"/>
        <w:jc w:val="both"/>
      </w:pPr>
      <w:r>
        <w:t>-</w:t>
      </w:r>
      <w:r w:rsidR="00B719F6">
        <w:t>h</w:t>
      </w:r>
      <w:r>
        <w:t xml:space="preserve">a individuato le </w:t>
      </w:r>
      <w:r w:rsidRPr="00917B84">
        <w:rPr>
          <w:b/>
          <w:bCs/>
        </w:rPr>
        <w:t>autorità competenti</w:t>
      </w:r>
      <w:r>
        <w:t xml:space="preserve"> ai sensi dell’articolo 31 del regolamento e </w:t>
      </w:r>
    </w:p>
    <w:p w14:paraId="5C147038" w14:textId="05D2BFCE" w:rsidR="00917B84" w:rsidRDefault="003F7882" w:rsidP="009307AE">
      <w:pPr>
        <w:spacing w:after="160" w:line="300" w:lineRule="auto"/>
        <w:jc w:val="both"/>
      </w:pPr>
      <w:r>
        <w:t xml:space="preserve">-ha disciplinato le </w:t>
      </w:r>
      <w:r w:rsidRPr="00917B84">
        <w:rPr>
          <w:b/>
          <w:bCs/>
        </w:rPr>
        <w:t>procedure</w:t>
      </w:r>
      <w:r>
        <w:t xml:space="preserve"> di emissione, ricezione, esecuzione e riesame degli ordini europei. </w:t>
      </w:r>
    </w:p>
    <w:p w14:paraId="479269B7" w14:textId="4F79C0B0" w:rsidR="00B719F6" w:rsidRDefault="00000000" w:rsidP="009307AE">
      <w:pPr>
        <w:spacing w:after="160" w:line="300" w:lineRule="auto"/>
        <w:jc w:val="both"/>
      </w:pPr>
      <w:r w:rsidRPr="00917B84">
        <w:rPr>
          <w:b/>
          <w:bCs/>
        </w:rPr>
        <w:t xml:space="preserve">Lo schema </w:t>
      </w:r>
      <w:r w:rsidR="003F7882">
        <w:rPr>
          <w:b/>
          <w:bCs/>
        </w:rPr>
        <w:t xml:space="preserve">del DDL </w:t>
      </w:r>
      <w:r w:rsidRPr="00917B84">
        <w:rPr>
          <w:b/>
          <w:bCs/>
        </w:rPr>
        <w:t>odierno completa il quadro</w:t>
      </w:r>
      <w:r>
        <w:t xml:space="preserve"> dando attuazione ai criteri residui: </w:t>
      </w:r>
    </w:p>
    <w:p w14:paraId="2A35F476" w14:textId="77777777" w:rsidR="00B719F6" w:rsidRDefault="00B719F6">
      <w:pPr>
        <w:spacing w:after="160" w:line="300" w:lineRule="auto"/>
        <w:ind w:firstLine="576"/>
        <w:jc w:val="both"/>
      </w:pPr>
      <w:r>
        <w:t>-la disciplina dell’</w:t>
      </w:r>
      <w:r w:rsidRPr="00917B84">
        <w:rPr>
          <w:b/>
          <w:bCs/>
        </w:rPr>
        <w:t>informazione alla persona</w:t>
      </w:r>
      <w:r>
        <w:t xml:space="preserve"> i cui dati sono richiesti e delle relative </w:t>
      </w:r>
      <w:r w:rsidRPr="00917B84">
        <w:rPr>
          <w:b/>
          <w:bCs/>
        </w:rPr>
        <w:t>ipotesi di differimento o omissione</w:t>
      </w:r>
      <w:r>
        <w:t xml:space="preserve"> </w:t>
      </w:r>
    </w:p>
    <w:p w14:paraId="22300CD6" w14:textId="77777777" w:rsidR="00B719F6" w:rsidRDefault="00B719F6">
      <w:pPr>
        <w:spacing w:after="160" w:line="300" w:lineRule="auto"/>
        <w:ind w:firstLine="576"/>
        <w:jc w:val="both"/>
      </w:pPr>
      <w:r>
        <w:t xml:space="preserve">-il </w:t>
      </w:r>
      <w:r w:rsidRPr="00917B84">
        <w:rPr>
          <w:b/>
          <w:bCs/>
        </w:rPr>
        <w:t>sistema sanzionatorio</w:t>
      </w:r>
      <w:r>
        <w:t xml:space="preserve"> nei confronti dei prestatori di servizi e i mezzi di </w:t>
      </w:r>
      <w:r w:rsidRPr="00917B84">
        <w:rPr>
          <w:b/>
          <w:bCs/>
        </w:rPr>
        <w:t>ricorso</w:t>
      </w:r>
      <w:r>
        <w:t xml:space="preserve"> </w:t>
      </w:r>
    </w:p>
    <w:p w14:paraId="4DB422C7" w14:textId="77777777" w:rsidR="00B719F6" w:rsidRDefault="00B719F6">
      <w:pPr>
        <w:spacing w:after="160" w:line="300" w:lineRule="auto"/>
        <w:ind w:firstLine="576"/>
        <w:jc w:val="both"/>
      </w:pPr>
      <w:r>
        <w:t xml:space="preserve">-le misure per l’attuazione del capo V del regolamento in materia di </w:t>
      </w:r>
      <w:r w:rsidRPr="00917B84">
        <w:rPr>
          <w:b/>
          <w:bCs/>
        </w:rPr>
        <w:t>sistema informatico decentrato</w:t>
      </w:r>
    </w:p>
    <w:p w14:paraId="75FB9C79" w14:textId="77777777" w:rsidR="00B719F6" w:rsidRDefault="00B719F6">
      <w:pPr>
        <w:spacing w:after="160" w:line="300" w:lineRule="auto"/>
        <w:ind w:firstLine="576"/>
        <w:jc w:val="both"/>
      </w:pPr>
      <w:r>
        <w:t xml:space="preserve">-il </w:t>
      </w:r>
      <w:r w:rsidRPr="00917B84">
        <w:rPr>
          <w:b/>
          <w:bCs/>
        </w:rPr>
        <w:t>regime linguistico</w:t>
      </w:r>
      <w:r>
        <w:t xml:space="preserve"> </w:t>
      </w:r>
    </w:p>
    <w:p w14:paraId="60B395C1" w14:textId="77777777" w:rsidR="00B719F6" w:rsidRDefault="00B719F6">
      <w:pPr>
        <w:spacing w:after="160" w:line="300" w:lineRule="auto"/>
        <w:ind w:firstLine="576"/>
        <w:jc w:val="both"/>
      </w:pPr>
      <w:r>
        <w:t xml:space="preserve">-il </w:t>
      </w:r>
      <w:r w:rsidRPr="00917B84">
        <w:rPr>
          <w:b/>
          <w:bCs/>
        </w:rPr>
        <w:t>monitoraggio statistico</w:t>
      </w:r>
      <w:r>
        <w:t xml:space="preserve"> </w:t>
      </w:r>
    </w:p>
    <w:p w14:paraId="7953F934" w14:textId="64850A51" w:rsidR="00A80535" w:rsidRDefault="00B719F6">
      <w:pPr>
        <w:spacing w:after="160" w:line="300" w:lineRule="auto"/>
        <w:ind w:firstLine="576"/>
        <w:jc w:val="both"/>
      </w:pPr>
      <w:r>
        <w:t>-le disposizioni di chiusura e coordinamento.</w:t>
      </w:r>
    </w:p>
    <w:p w14:paraId="49B6B6DA" w14:textId="70CDC1F2" w:rsidR="00B719F6" w:rsidRDefault="00000000" w:rsidP="00B719F6">
      <w:pPr>
        <w:spacing w:after="160" w:line="300" w:lineRule="auto"/>
        <w:jc w:val="both"/>
      </w:pPr>
      <w:r>
        <w:t xml:space="preserve">È rilevante osservare che i profili affidati a questo </w:t>
      </w:r>
      <w:r w:rsidRPr="003F7882">
        <w:rPr>
          <w:b/>
          <w:bCs/>
        </w:rPr>
        <w:t>secondo intervento</w:t>
      </w:r>
      <w:r>
        <w:t xml:space="preserve"> sono precisamente quelli che governano la </w:t>
      </w:r>
      <w:r w:rsidRPr="00917B84">
        <w:rPr>
          <w:b/>
          <w:bCs/>
          <w:u w:val="single"/>
        </w:rPr>
        <w:t>relazione del sistema italiano con l’esterno</w:t>
      </w:r>
      <w:r w:rsidR="003F7882">
        <w:rPr>
          <w:b/>
          <w:bCs/>
          <w:u w:val="single"/>
        </w:rPr>
        <w:t xml:space="preserve"> su diversi livelli</w:t>
      </w:r>
      <w:r>
        <w:t xml:space="preserve">: </w:t>
      </w:r>
    </w:p>
    <w:p w14:paraId="29DE4FD3" w14:textId="14056F01" w:rsidR="00B719F6" w:rsidRDefault="00B719F6" w:rsidP="00B719F6">
      <w:pPr>
        <w:spacing w:after="160" w:line="300" w:lineRule="auto"/>
        <w:jc w:val="both"/>
      </w:pPr>
      <w:r>
        <w:lastRenderedPageBreak/>
        <w:t xml:space="preserve">-con gli </w:t>
      </w:r>
      <w:r w:rsidRPr="00917B84">
        <w:rPr>
          <w:b/>
          <w:bCs/>
        </w:rPr>
        <w:t>altri Stati membri</w:t>
      </w:r>
      <w:r w:rsidR="00917B84">
        <w:t xml:space="preserve"> della UE</w:t>
      </w:r>
      <w:r>
        <w:t xml:space="preserve">, ai quali l’Italia dovrà apparire come </w:t>
      </w:r>
      <w:r w:rsidRPr="003F7882">
        <w:rPr>
          <w:i/>
          <w:iCs/>
        </w:rPr>
        <w:t>autorità di emissione affidabile e come autorità di esecuzione tempestiva</w:t>
      </w:r>
      <w:r>
        <w:t xml:space="preserve">; </w:t>
      </w:r>
    </w:p>
    <w:p w14:paraId="4B175573" w14:textId="77777777" w:rsidR="00B719F6" w:rsidRDefault="00B719F6" w:rsidP="00B719F6">
      <w:pPr>
        <w:spacing w:after="160" w:line="300" w:lineRule="auto"/>
        <w:jc w:val="both"/>
      </w:pPr>
      <w:r>
        <w:t xml:space="preserve">-con i </w:t>
      </w:r>
      <w:r w:rsidRPr="00917B84">
        <w:rPr>
          <w:b/>
          <w:bCs/>
        </w:rPr>
        <w:t>prestatori di servizi</w:t>
      </w:r>
      <w:r>
        <w:t xml:space="preserve">, spesso operatori di </w:t>
      </w:r>
      <w:r w:rsidRPr="003F7882">
        <w:rPr>
          <w:i/>
          <w:iCs/>
        </w:rPr>
        <w:t>dimensione globale</w:t>
      </w:r>
      <w:r>
        <w:t xml:space="preserve">; </w:t>
      </w:r>
    </w:p>
    <w:p w14:paraId="730570C8" w14:textId="77777777" w:rsidR="00B719F6" w:rsidRDefault="00B719F6" w:rsidP="00B719F6">
      <w:pPr>
        <w:spacing w:after="160" w:line="300" w:lineRule="auto"/>
        <w:jc w:val="both"/>
      </w:pPr>
      <w:r>
        <w:t>-con l’</w:t>
      </w:r>
      <w:r w:rsidRPr="00917B84">
        <w:rPr>
          <w:b/>
          <w:bCs/>
        </w:rPr>
        <w:t>interessato</w:t>
      </w:r>
      <w:r>
        <w:t xml:space="preserve">, quale </w:t>
      </w:r>
      <w:r w:rsidRPr="003F7882">
        <w:rPr>
          <w:i/>
          <w:iCs/>
        </w:rPr>
        <w:t>titolare di garanzie</w:t>
      </w:r>
      <w:r>
        <w:t xml:space="preserve"> che devono risultare riconoscibili anche oltre i confini nazionali. </w:t>
      </w:r>
    </w:p>
    <w:p w14:paraId="258C2951" w14:textId="482E2CD2" w:rsidR="00A80535" w:rsidRDefault="00000000" w:rsidP="00B719F6">
      <w:pPr>
        <w:spacing w:after="160" w:line="300" w:lineRule="auto"/>
        <w:jc w:val="both"/>
      </w:pPr>
      <w:r>
        <w:t xml:space="preserve">Per questa ragione il contributo si concentra sui </w:t>
      </w:r>
      <w:r w:rsidRPr="003F7882">
        <w:rPr>
          <w:u w:val="single"/>
        </w:rPr>
        <w:t xml:space="preserve">profili di coerenza sistemica del provvedimento nella sua proiezione </w:t>
      </w:r>
      <w:r w:rsidR="00917B84" w:rsidRPr="003F7882">
        <w:rPr>
          <w:u w:val="single"/>
        </w:rPr>
        <w:t>internazionale</w:t>
      </w:r>
      <w:r>
        <w:t>.</w:t>
      </w:r>
    </w:p>
    <w:p w14:paraId="4EF8BBA7" w14:textId="6A6C37AB" w:rsidR="00B719F6" w:rsidRDefault="00000000" w:rsidP="00B719F6">
      <w:pPr>
        <w:spacing w:after="160" w:line="300" w:lineRule="auto"/>
        <w:jc w:val="both"/>
      </w:pPr>
      <w:r>
        <w:t>Coerentemente con tale delimitazione, mi asterrò dalle valutazioni di tecnica processuale interna — in tema di utilizzabilità, invalidità, riparto di competenze tra uffici e regime della prova — che sono rimesse alla giurisdizione, alla dottrina e agli organi tecnici già intervenuti</w:t>
      </w:r>
      <w:r w:rsidR="00B719F6">
        <w:t xml:space="preserve"> o che interverranno</w:t>
      </w:r>
      <w:r w:rsidR="00917B84">
        <w:t xml:space="preserve"> nel corso di questi lavori</w:t>
      </w:r>
      <w:r w:rsidR="00B719F6">
        <w:t>.</w:t>
      </w:r>
    </w:p>
    <w:p w14:paraId="51DAAE6D" w14:textId="4FBD1EF1" w:rsidR="00917B84" w:rsidRDefault="00B719F6" w:rsidP="009307AE">
      <w:pPr>
        <w:spacing w:after="160" w:line="300" w:lineRule="auto"/>
        <w:jc w:val="both"/>
      </w:pPr>
      <w:r>
        <w:t>Segnalo</w:t>
      </w:r>
      <w:r w:rsidR="003F7882">
        <w:t>,</w:t>
      </w:r>
      <w:r w:rsidR="00917B84">
        <w:t xml:space="preserve"> ad ogni buon fine</w:t>
      </w:r>
      <w:r w:rsidR="003F7882">
        <w:t>,</w:t>
      </w:r>
      <w:r>
        <w:t xml:space="preserve"> </w:t>
      </w:r>
      <w:r w:rsidR="00917B84">
        <w:t>una dettagliata relazione del</w:t>
      </w:r>
      <w:r w:rsidRPr="00917B84">
        <w:t>l’Ufficio del Massimario della Corte di cassazione</w:t>
      </w:r>
      <w:r w:rsidR="00917B84">
        <w:t xml:space="preserve"> (allegato n.1) </w:t>
      </w:r>
      <w:r w:rsidR="00D035BA">
        <w:t xml:space="preserve">che ha già commentato </w:t>
      </w:r>
      <w:r w:rsidR="00D035BA">
        <w:t xml:space="preserve">in dettaglio </w:t>
      </w:r>
      <w:r w:rsidR="00D035BA">
        <w:t>la materia</w:t>
      </w:r>
      <w:r w:rsidR="00D035BA">
        <w:t>.</w:t>
      </w:r>
    </w:p>
    <w:p w14:paraId="280A20AD" w14:textId="33BD252A" w:rsidR="00917B84" w:rsidRDefault="00917B84" w:rsidP="009307AE">
      <w:pPr>
        <w:spacing w:after="160" w:line="300" w:lineRule="auto"/>
        <w:jc w:val="both"/>
      </w:pPr>
      <w:r>
        <w:t>Evidenzio, altresì, che l’</w:t>
      </w:r>
      <w:r w:rsidR="00B719F6">
        <w:t>Atto del Governo n. 411 non rappresenta soltanto un adempimento tecnico di adeguamento al regolamento europeo, ma</w:t>
      </w:r>
      <w:r>
        <w:t xml:space="preserve"> ha il fine</w:t>
      </w:r>
      <w:r w:rsidR="00B719F6">
        <w:t xml:space="preserve"> di collocare l’ordinamento nazionale dentro una </w:t>
      </w:r>
      <w:r w:rsidR="00B719F6" w:rsidRPr="00D035BA">
        <w:rPr>
          <w:b/>
          <w:bCs/>
          <w:u w:val="single"/>
        </w:rPr>
        <w:t>rete di fiducia</w:t>
      </w:r>
      <w:r w:rsidR="00B719F6" w:rsidRPr="003F7882">
        <w:rPr>
          <w:u w:val="single"/>
        </w:rPr>
        <w:t>, di interoperabilità e di responsabilità condivisa</w:t>
      </w:r>
      <w:r w:rsidR="00B719F6">
        <w:t xml:space="preserve">, </w:t>
      </w:r>
      <w:r w:rsidR="003F7882" w:rsidRPr="003F7882">
        <w:rPr>
          <w:u w:val="single"/>
        </w:rPr>
        <w:t xml:space="preserve">in cui </w:t>
      </w:r>
      <w:r w:rsidR="00B719F6" w:rsidRPr="003F7882">
        <w:rPr>
          <w:u w:val="single"/>
        </w:rPr>
        <w:t xml:space="preserve">la qualità delle garanzie interne </w:t>
      </w:r>
      <w:r w:rsidR="003F7882">
        <w:rPr>
          <w:u w:val="single"/>
        </w:rPr>
        <w:t xml:space="preserve">è destinata a divenire </w:t>
      </w:r>
      <w:r w:rsidRPr="003F7882">
        <w:rPr>
          <w:u w:val="single"/>
        </w:rPr>
        <w:t>anche</w:t>
      </w:r>
      <w:r w:rsidR="00B719F6" w:rsidRPr="003F7882">
        <w:rPr>
          <w:u w:val="single"/>
        </w:rPr>
        <w:t xml:space="preserve"> parte della credibilità esterna del Paese</w:t>
      </w:r>
      <w:r w:rsidR="00B719F6">
        <w:t>.</w:t>
      </w:r>
    </w:p>
    <w:p w14:paraId="2883E12D" w14:textId="2FE5A846" w:rsidR="003F7882" w:rsidRDefault="003F7882" w:rsidP="003F7882">
      <w:pPr>
        <w:spacing w:after="160" w:line="300" w:lineRule="auto"/>
        <w:jc w:val="center"/>
      </w:pPr>
      <w:r>
        <w:t>*****</w:t>
      </w:r>
    </w:p>
    <w:p w14:paraId="28EADA52" w14:textId="15BDA907" w:rsidR="00A80535" w:rsidRDefault="00000000" w:rsidP="009307AE">
      <w:pPr>
        <w:spacing w:after="160" w:line="300" w:lineRule="auto"/>
        <w:jc w:val="both"/>
      </w:pPr>
      <w:r w:rsidRPr="003F7882">
        <w:rPr>
          <w:b/>
          <w:bCs/>
        </w:rPr>
        <w:t>La prova elettronica</w:t>
      </w:r>
      <w:r>
        <w:t xml:space="preserve"> è ormai uno dei luoghi nei quali la diplomazia giuridica assume contenuto concreto: essa richiede </w:t>
      </w:r>
      <w:r w:rsidR="00917B84">
        <w:t xml:space="preserve">per sua stessa natura </w:t>
      </w:r>
      <w:r w:rsidRPr="003F7882">
        <w:rPr>
          <w:u w:val="single"/>
        </w:rPr>
        <w:t>regole comuni, linguaggi operativi condivisi, autorità capaci di dialogare in tempi rapidi e, soprattutto, capacità istituzionali effettive</w:t>
      </w:r>
      <w:r>
        <w:t>. Per questa ragione, l’assistenza tecnica e la formazione degli operatori non sono attività accessorie, ma condizioni di funzionamento del sistema, specie quando l’ordine europeo deve interagire con prestatori di servizi globali e con ordinamenti caratterizzati da differenti standard di tutela.</w:t>
      </w:r>
    </w:p>
    <w:p w14:paraId="7EE75123" w14:textId="5025D33B" w:rsidR="00917B84" w:rsidRDefault="00917B84" w:rsidP="009307AE">
      <w:pPr>
        <w:spacing w:after="160" w:line="300" w:lineRule="auto"/>
        <w:jc w:val="both"/>
      </w:pPr>
      <w:r>
        <w:t xml:space="preserve">Infine, quale ultima riflessione di carattere generale, osservo che la prova elettronica e le modalità di cooperazione giudiziaria internazionale in questo specifico settore, hanno una </w:t>
      </w:r>
      <w:r w:rsidRPr="003F7882">
        <w:rPr>
          <w:u w:val="single"/>
        </w:rPr>
        <w:t>ricaduta particolarmente significativa sulle indagini e nei processi in materia di contrasto al crimine transnazionale organizzato</w:t>
      </w:r>
      <w:r>
        <w:t>, al riciclaggio ed al finanziamento al terrorismo</w:t>
      </w:r>
      <w:r w:rsidR="00D14101">
        <w:t xml:space="preserve">, dovendosi prendere atto del dato che </w:t>
      </w:r>
      <w:r w:rsidR="00D14101" w:rsidRPr="00B36B41">
        <w:rPr>
          <w:u w:val="single"/>
        </w:rPr>
        <w:t>le mafie hanno una particolare propensione ed una abilità straordinaria nell’agganciare il progresso tecnologico sfruttandone le potenzialità</w:t>
      </w:r>
      <w:r w:rsidR="00D14101">
        <w:t xml:space="preserve">.  Le migliori tecniche investigative oggi sono chiamate infatti ad un ammodernamento del paradigma coniato da Giovanni Falcone ed a tutti noto come </w:t>
      </w:r>
      <w:r w:rsidR="00D035BA">
        <w:t>“</w:t>
      </w:r>
      <w:r w:rsidR="00D14101" w:rsidRPr="00D035BA">
        <w:rPr>
          <w:i/>
          <w:iCs/>
        </w:rPr>
        <w:t>follow the money</w:t>
      </w:r>
      <w:r w:rsidR="00D035BA">
        <w:t>”</w:t>
      </w:r>
      <w:r w:rsidR="00D14101">
        <w:t>, per passare ad un più complesso “</w:t>
      </w:r>
      <w:r w:rsidR="00D14101" w:rsidRPr="00D035BA">
        <w:rPr>
          <w:i/>
          <w:iCs/>
          <w:u w:val="single"/>
        </w:rPr>
        <w:t>follow the data</w:t>
      </w:r>
      <w:r w:rsidR="00D14101">
        <w:t>” per ricostruire reti criminali e flussi finanziari illeciti</w:t>
      </w:r>
      <w:r w:rsidR="00D035BA">
        <w:t>,</w:t>
      </w:r>
      <w:r w:rsidR="00D14101">
        <w:t xml:space="preserve"> anche nel mercato delle criptovalute e delle </w:t>
      </w:r>
      <w:r w:rsidR="00D14101" w:rsidRPr="00D035BA">
        <w:rPr>
          <w:i/>
          <w:iCs/>
        </w:rPr>
        <w:t>blockchain</w:t>
      </w:r>
      <w:r w:rsidR="00D035BA">
        <w:t xml:space="preserve">, per quanto solo indirettamente coinvolte negli accertamenti che hanno ad oggetto la prova </w:t>
      </w:r>
      <w:proofErr w:type="gramStart"/>
      <w:r w:rsidR="00D035BA">
        <w:t xml:space="preserve">elettronica </w:t>
      </w:r>
      <w:r w:rsidR="00D14101">
        <w:t>.</w:t>
      </w:r>
      <w:proofErr w:type="gramEnd"/>
      <w:r>
        <w:t xml:space="preserve"> </w:t>
      </w:r>
    </w:p>
    <w:p w14:paraId="1C83C15A" w14:textId="77777777" w:rsidR="00D14101" w:rsidRDefault="00D14101" w:rsidP="009307AE">
      <w:pPr>
        <w:spacing w:after="160" w:line="300" w:lineRule="auto"/>
        <w:jc w:val="both"/>
      </w:pPr>
    </w:p>
    <w:p w14:paraId="446C2603" w14:textId="71881D24" w:rsidR="00D14101" w:rsidRDefault="00000000" w:rsidP="00DB6241">
      <w:pPr>
        <w:pStyle w:val="Titolo1"/>
        <w:keepNext/>
      </w:pPr>
      <w:r>
        <w:t>2. Il contesto: dalla mutua assistenza giudiziaria alla cooperazione diretta</w:t>
      </w:r>
    </w:p>
    <w:p w14:paraId="50E3898D" w14:textId="1DDBAD58" w:rsidR="00D14101" w:rsidRDefault="00000000" w:rsidP="00D14101">
      <w:pPr>
        <w:spacing w:after="160" w:line="300" w:lineRule="auto"/>
        <w:jc w:val="both"/>
      </w:pPr>
      <w:r>
        <w:t>Per apprezzare la portata del</w:t>
      </w:r>
      <w:r w:rsidR="00D035BA">
        <w:t>lo schema</w:t>
      </w:r>
      <w:r>
        <w:t xml:space="preserve"> in esame è utile richiamare, sia pure sinteticamente, la traiettoria entro cui esso si colloca. </w:t>
      </w:r>
    </w:p>
    <w:p w14:paraId="36164743" w14:textId="7B8C0BD5" w:rsidR="00D14101" w:rsidRDefault="00000000" w:rsidP="00D14101">
      <w:pPr>
        <w:spacing w:after="160" w:line="300" w:lineRule="auto"/>
        <w:jc w:val="both"/>
      </w:pPr>
      <w:r>
        <w:t xml:space="preserve">La </w:t>
      </w:r>
      <w:r w:rsidRPr="009307AE">
        <w:rPr>
          <w:b/>
          <w:bCs/>
        </w:rPr>
        <w:t>cooperazione giudiziaria penale</w:t>
      </w:r>
      <w:r>
        <w:t xml:space="preserve"> ha conosciuto, negli ultimi decenni, un </w:t>
      </w:r>
      <w:r w:rsidRPr="009307AE">
        <w:rPr>
          <w:b/>
          <w:bCs/>
        </w:rPr>
        <w:t>progressivo affrancamento</w:t>
      </w:r>
      <w:r>
        <w:t xml:space="preserve"> </w:t>
      </w:r>
      <w:r w:rsidRPr="00B36B41">
        <w:rPr>
          <w:b/>
          <w:bCs/>
        </w:rPr>
        <w:t>dai limiti strutturali della mutua assistenza classica.</w:t>
      </w:r>
      <w:r>
        <w:t xml:space="preserve"> Gli strumenti tradizionali — le rogatorie e le convenzioni di assistenza — si sono rivelati, alla prova dei fatti, poco adeguati alle esigenze dell’azione penale contemporanea: la durata media della procedura si misura spesso in mesi, quando non in anni; l’esito è frequentemente imprevedibile; e, soprattutto, gli obblighi assunti in sede convenzionale non sono di regola coercibili, sicché la collaborazione effettiva resta rimessa alla </w:t>
      </w:r>
      <w:r w:rsidR="00B36B41">
        <w:t xml:space="preserve">concreta </w:t>
      </w:r>
      <w:r>
        <w:t xml:space="preserve">volontà dello Stato richiesto. </w:t>
      </w:r>
    </w:p>
    <w:p w14:paraId="56D2DE8A" w14:textId="30EB0AF6" w:rsidR="00A80535" w:rsidRDefault="00000000" w:rsidP="00D14101">
      <w:pPr>
        <w:spacing w:after="160" w:line="300" w:lineRule="auto"/>
        <w:jc w:val="both"/>
      </w:pPr>
      <w:r>
        <w:t>Le difficoltà incontrate nell’ottenere cooperazione effettiva in vicende note testimoniano quanto tale fragilità incida sulla capacità di accertamento</w:t>
      </w:r>
      <w:r w:rsidR="00D14101">
        <w:t>, di prevenzione e di contrasto</w:t>
      </w:r>
      <w:r>
        <w:t>.</w:t>
      </w:r>
    </w:p>
    <w:p w14:paraId="404CAE2C" w14:textId="325AD52E" w:rsidR="00D14101" w:rsidRDefault="00000000" w:rsidP="00D14101">
      <w:pPr>
        <w:spacing w:after="160" w:line="300" w:lineRule="auto"/>
        <w:jc w:val="both"/>
      </w:pPr>
      <w:r>
        <w:t xml:space="preserve">A questi limiti si aggiunge, sul versante della utilizzabilità del materiale raccolto oltre confine, la </w:t>
      </w:r>
      <w:r w:rsidRPr="009307AE">
        <w:rPr>
          <w:b/>
          <w:bCs/>
        </w:rPr>
        <w:t xml:space="preserve">tradizionale prevalenza della legge del luogo di esecuzione </w:t>
      </w:r>
      <w:r w:rsidR="00B36B41">
        <w:rPr>
          <w:b/>
          <w:bCs/>
        </w:rPr>
        <w:t xml:space="preserve">degli atti </w:t>
      </w:r>
      <w:r w:rsidRPr="009307AE">
        <w:rPr>
          <w:b/>
          <w:bCs/>
        </w:rPr>
        <w:t>sulla legge del foro</w:t>
      </w:r>
      <w:r>
        <w:t xml:space="preserve">, con la conseguente incertezza sulla spendibilità processuale della prova formata secondo regole diverse da quelle vigenti nello Stato del processo. </w:t>
      </w:r>
    </w:p>
    <w:p w14:paraId="72B03EE7" w14:textId="44104C52" w:rsidR="00A80535" w:rsidRDefault="00000000" w:rsidP="00D14101">
      <w:pPr>
        <w:spacing w:after="160" w:line="300" w:lineRule="auto"/>
        <w:jc w:val="both"/>
      </w:pPr>
      <w:r>
        <w:t xml:space="preserve">La </w:t>
      </w:r>
      <w:r w:rsidRPr="009307AE">
        <w:rPr>
          <w:b/>
          <w:bCs/>
        </w:rPr>
        <w:t>disomogeneità</w:t>
      </w:r>
      <w:r>
        <w:t xml:space="preserve"> delle discipline probatorie nazionali ha rappresentato, storicamente, un ostacolo non meno insidioso della </w:t>
      </w:r>
      <w:r w:rsidRPr="009307AE">
        <w:rPr>
          <w:b/>
          <w:bCs/>
        </w:rPr>
        <w:t>lentezza delle procedure</w:t>
      </w:r>
      <w:r>
        <w:t>.</w:t>
      </w:r>
    </w:p>
    <w:p w14:paraId="3B997EC3" w14:textId="44C3E9EB" w:rsidR="00D14101" w:rsidRPr="009307AE" w:rsidRDefault="00000000" w:rsidP="00D14101">
      <w:pPr>
        <w:spacing w:after="160" w:line="300" w:lineRule="auto"/>
        <w:jc w:val="both"/>
        <w:rPr>
          <w:b/>
          <w:bCs/>
        </w:rPr>
      </w:pPr>
      <w:r w:rsidRPr="009307AE">
        <w:rPr>
          <w:b/>
          <w:bCs/>
        </w:rPr>
        <w:t>La risposta dell’Unione</w:t>
      </w:r>
      <w:r w:rsidR="00B36B41">
        <w:rPr>
          <w:b/>
          <w:bCs/>
        </w:rPr>
        <w:t xml:space="preserve"> europea</w:t>
      </w:r>
      <w:r w:rsidRPr="009307AE">
        <w:rPr>
          <w:b/>
          <w:bCs/>
        </w:rPr>
        <w:t xml:space="preserve"> a queste inadeguatezze è consistita nel progressivo superamento della cooperazione orizzontale</w:t>
      </w:r>
      <w:r w:rsidR="00B36B41">
        <w:rPr>
          <w:b/>
          <w:bCs/>
        </w:rPr>
        <w:t>,</w:t>
      </w:r>
      <w:r w:rsidRPr="009307AE">
        <w:rPr>
          <w:b/>
          <w:bCs/>
        </w:rPr>
        <w:t xml:space="preserve"> in favore del principio del reciproco riconoscimento. </w:t>
      </w:r>
    </w:p>
    <w:p w14:paraId="23C6AAFB" w14:textId="2212CDDE" w:rsidR="00D14101" w:rsidRDefault="00000000" w:rsidP="00D14101">
      <w:pPr>
        <w:spacing w:after="160" w:line="300" w:lineRule="auto"/>
        <w:jc w:val="both"/>
      </w:pPr>
      <w:r>
        <w:t>Con l’</w:t>
      </w:r>
      <w:r w:rsidRPr="009307AE">
        <w:rPr>
          <w:b/>
          <w:bCs/>
        </w:rPr>
        <w:t>ordine europeo di indagine</w:t>
      </w:r>
      <w:r>
        <w:t xml:space="preserve">, in particolare, la procedura è divenuta interamente giudiziaria, con </w:t>
      </w:r>
      <w:r w:rsidR="00F13C94">
        <w:t xml:space="preserve">il superamento </w:t>
      </w:r>
      <w:r>
        <w:t xml:space="preserve">del vaglio politico rimesso all’autorità di </w:t>
      </w:r>
      <w:r w:rsidR="00F13C94">
        <w:t>G</w:t>
      </w:r>
      <w:r>
        <w:t xml:space="preserve">overno. </w:t>
      </w:r>
    </w:p>
    <w:p w14:paraId="1C711EDA" w14:textId="77777777" w:rsidR="00D14101" w:rsidRDefault="00000000" w:rsidP="00D14101">
      <w:pPr>
        <w:spacing w:after="160" w:line="300" w:lineRule="auto"/>
        <w:jc w:val="both"/>
      </w:pPr>
      <w:r>
        <w:t>Al contempo</w:t>
      </w:r>
      <w:r w:rsidR="00D14101">
        <w:t xml:space="preserve"> e </w:t>
      </w:r>
      <w:r w:rsidR="00D14101" w:rsidRPr="00D14101">
        <w:rPr>
          <w:i/>
          <w:iCs/>
        </w:rPr>
        <w:t>a contrario</w:t>
      </w:r>
      <w:r>
        <w:t xml:space="preserve">, l’esperienza del mandato di arresto europeo ha mostrato i </w:t>
      </w:r>
      <w:r w:rsidRPr="009307AE">
        <w:rPr>
          <w:b/>
          <w:bCs/>
        </w:rPr>
        <w:t>rischi di un’applicazione «cieca»</w:t>
      </w:r>
      <w:r>
        <w:t xml:space="preserve"> del mutuo riconoscimento, inducendo il legislatore </w:t>
      </w:r>
      <w:proofErr w:type="spellStart"/>
      <w:r>
        <w:t>unionale</w:t>
      </w:r>
      <w:proofErr w:type="spellEnd"/>
      <w:r>
        <w:t xml:space="preserve"> a temperarne il rigore con </w:t>
      </w:r>
      <w:r w:rsidRPr="009307AE">
        <w:rPr>
          <w:b/>
          <w:bCs/>
        </w:rPr>
        <w:t>presidi a garanzia dei diritti fondamentali</w:t>
      </w:r>
      <w:r>
        <w:t xml:space="preserve">. </w:t>
      </w:r>
    </w:p>
    <w:p w14:paraId="6E6A1DE6" w14:textId="07B1A6D8" w:rsidR="00A80535" w:rsidRPr="00B36B41" w:rsidRDefault="00000000" w:rsidP="00D14101">
      <w:pPr>
        <w:spacing w:after="160" w:line="300" w:lineRule="auto"/>
        <w:jc w:val="both"/>
        <w:rPr>
          <w:u w:val="single"/>
        </w:rPr>
      </w:pPr>
      <w:r w:rsidRPr="00B36B41">
        <w:rPr>
          <w:u w:val="single"/>
        </w:rPr>
        <w:t xml:space="preserve">Il pacchetto </w:t>
      </w:r>
      <w:r w:rsidRPr="00B36B41">
        <w:rPr>
          <w:i/>
          <w:iCs/>
          <w:u w:val="single"/>
        </w:rPr>
        <w:t>e-</w:t>
      </w:r>
      <w:proofErr w:type="spellStart"/>
      <w:r w:rsidRPr="00B36B41">
        <w:rPr>
          <w:i/>
          <w:iCs/>
          <w:u w:val="single"/>
        </w:rPr>
        <w:t>evidence</w:t>
      </w:r>
      <w:proofErr w:type="spellEnd"/>
      <w:r w:rsidRPr="00B36B41">
        <w:rPr>
          <w:u w:val="single"/>
        </w:rPr>
        <w:t xml:space="preserve"> si iscrive in questa</w:t>
      </w:r>
      <w:r w:rsidR="00D14101" w:rsidRPr="00B36B41">
        <w:rPr>
          <w:u w:val="single"/>
        </w:rPr>
        <w:t xml:space="preserve"> più ampia e complessa </w:t>
      </w:r>
      <w:r w:rsidRPr="00B36B41">
        <w:rPr>
          <w:u w:val="single"/>
        </w:rPr>
        <w:t>vicenda</w:t>
      </w:r>
      <w:r w:rsidR="00D14101" w:rsidRPr="00B36B41">
        <w:rPr>
          <w:u w:val="single"/>
        </w:rPr>
        <w:t xml:space="preserve"> di evoluzione regolatoria</w:t>
      </w:r>
      <w:r w:rsidRPr="00B36B41">
        <w:rPr>
          <w:u w:val="single"/>
        </w:rPr>
        <w:t>, portandone alle estreme conseguenze la logica: non più un ordine indirizzato a un’autorità straniera che lo esegue, ma un ordine rivolto direttamente al prestatore di servizi, che vi ottempera in prima persona.</w:t>
      </w:r>
    </w:p>
    <w:p w14:paraId="34F4D18C" w14:textId="77777777" w:rsidR="00D14101" w:rsidRDefault="00000000" w:rsidP="00D14101">
      <w:pPr>
        <w:spacing w:after="160" w:line="300" w:lineRule="auto"/>
        <w:jc w:val="both"/>
      </w:pPr>
      <w:r>
        <w:t xml:space="preserve">Il richiamo a questa evoluzione non è un esercizio ricostruttivo fine a sé stesso. Esso serve a mettere a fuoco la posta in gioco del provvedimento in esame: </w:t>
      </w:r>
      <w:r w:rsidRPr="00B36B41">
        <w:rPr>
          <w:u w:val="single"/>
        </w:rPr>
        <w:t xml:space="preserve">quanto più il sistema comprime i filtri intermedi e accelera i tempi, tanto più esso riposa sulla fiducia reciproca e </w:t>
      </w:r>
      <w:r w:rsidRPr="00B36B41">
        <w:rPr>
          <w:u w:val="single"/>
        </w:rPr>
        <w:lastRenderedPageBreak/>
        <w:t>sulla capacità di ciascun ordinamento di operare in via diretta senza smarrire le proprie garanzie.</w:t>
      </w:r>
      <w:r>
        <w:t xml:space="preserve"> </w:t>
      </w:r>
    </w:p>
    <w:p w14:paraId="378E918B" w14:textId="77777777" w:rsidR="009307AE" w:rsidRDefault="00000000" w:rsidP="00D14101">
      <w:pPr>
        <w:spacing w:after="160" w:line="300" w:lineRule="auto"/>
        <w:jc w:val="both"/>
      </w:pPr>
      <w:r>
        <w:t xml:space="preserve">È su questo crinale che si collocano i </w:t>
      </w:r>
      <w:r w:rsidR="00D14101">
        <w:t xml:space="preserve">pochi </w:t>
      </w:r>
      <w:r>
        <w:t>profili d</w:t>
      </w:r>
      <w:r w:rsidR="00D14101">
        <w:t>egni di approfondimento</w:t>
      </w:r>
      <w:r>
        <w:t xml:space="preserve"> che segnalerò.</w:t>
      </w:r>
    </w:p>
    <w:p w14:paraId="3A0DC3DA" w14:textId="5FB84BE9" w:rsidR="00D14101" w:rsidRDefault="00000000" w:rsidP="00D14101">
      <w:pPr>
        <w:spacing w:after="160" w:line="300" w:lineRule="auto"/>
        <w:jc w:val="both"/>
      </w:pPr>
      <w:r>
        <w:t>La questione</w:t>
      </w:r>
      <w:r w:rsidR="00D14101">
        <w:t>, come accennato,</w:t>
      </w:r>
      <w:r>
        <w:t xml:space="preserve"> assume </w:t>
      </w:r>
      <w:r w:rsidRPr="009307AE">
        <w:rPr>
          <w:b/>
          <w:bCs/>
        </w:rPr>
        <w:t>particolare rilievo anche nel contrasto alla criminalità organizzata.</w:t>
      </w:r>
      <w:r>
        <w:t xml:space="preserve"> Le mafie contemporanee</w:t>
      </w:r>
      <w:r w:rsidR="00D035BA">
        <w:t>, invero,</w:t>
      </w:r>
      <w:r>
        <w:t xml:space="preserve"> non operano più soltanto attraverso flussi fisici di merci, denaro e persone, ma mediante comunicazioni cifrate, identità digitali, piattaforme di intermediazione, servizi cloud, strumenti di pagamento elettronico e tracce informative distribuite tra più giurisdizioni. </w:t>
      </w:r>
    </w:p>
    <w:p w14:paraId="3122775D" w14:textId="488BE645" w:rsidR="00A80535" w:rsidRDefault="00000000" w:rsidP="00D14101">
      <w:pPr>
        <w:spacing w:after="160" w:line="300" w:lineRule="auto"/>
        <w:jc w:val="both"/>
      </w:pPr>
      <w:r>
        <w:t>La prova digitale, pertanto, non è una materia settoriale riservata ai reati informatici: è divenuta una componente ordinaria dell’accertamento penale e, in molti casi, la chiave per ricostruire reti, ruoli, transazioni e collegamenti transnazionali.</w:t>
      </w:r>
    </w:p>
    <w:p w14:paraId="53D40875" w14:textId="0DD2DCC0" w:rsidR="00D14101" w:rsidRDefault="00000000" w:rsidP="00DB6241">
      <w:pPr>
        <w:pStyle w:val="Titolo1"/>
        <w:keepNext/>
      </w:pPr>
      <w:r>
        <w:t>3. Il paradigma della cooperazione diretta, il rapporto con l’ordine europeo di indagine e il perimetro del completamento</w:t>
      </w:r>
    </w:p>
    <w:p w14:paraId="75D005D0" w14:textId="487BE384" w:rsidR="00D14101" w:rsidRDefault="00000000" w:rsidP="00D14101">
      <w:pPr>
        <w:spacing w:after="160" w:line="300" w:lineRule="auto"/>
        <w:jc w:val="both"/>
      </w:pPr>
      <w:r>
        <w:t xml:space="preserve">Il regolamento (UE) 2023/1543 porta dunque a compimento questo mutamento di paradigma nella circolazione transnazionale della prova. </w:t>
      </w:r>
    </w:p>
    <w:p w14:paraId="3D07BB24" w14:textId="3D1F536B" w:rsidR="00A80535" w:rsidRDefault="00000000" w:rsidP="00D14101">
      <w:pPr>
        <w:spacing w:after="160" w:line="300" w:lineRule="auto"/>
        <w:jc w:val="both"/>
      </w:pPr>
      <w:r>
        <w:t xml:space="preserve">Al modello tradizionale della mutua assistenza giudiziaria subentra un meccanismo di cooperazione diretta tra l’autorità di emissione di uno Stato membro e il prestatore di servizi, tenuto a rispondere in prima persona all’ordine europeo di produzione o di conservazione. </w:t>
      </w:r>
      <w:r w:rsidRPr="00B36B41">
        <w:rPr>
          <w:u w:val="single"/>
        </w:rPr>
        <w:t>In un numero significativo di ipotesi, il filtro sistematico dell’autorità dello Stato di esecuzione arretra, riemergendo soltanto nelle situazioni tipizzate di notifica o in fase di esecuzione coattiva</w:t>
      </w:r>
      <w:r>
        <w:t xml:space="preserve">. Il sistema, in altri termini, </w:t>
      </w:r>
      <w:r w:rsidRPr="00B36B41">
        <w:rPr>
          <w:b/>
          <w:bCs/>
        </w:rPr>
        <w:t>sposta in avanti</w:t>
      </w:r>
      <w:r>
        <w:t xml:space="preserve"> la scommessa sulla fiducia reciproca tra ordinamenti.</w:t>
      </w:r>
    </w:p>
    <w:p w14:paraId="485ED2FD" w14:textId="77777777" w:rsidR="00D14101" w:rsidRDefault="00000000" w:rsidP="00D14101">
      <w:pPr>
        <w:spacing w:after="160" w:line="300" w:lineRule="auto"/>
        <w:jc w:val="both"/>
      </w:pPr>
      <w:r>
        <w:t xml:space="preserve">Questo dato di struttura non è oggetto del presente contributo sul piano dei suoi effetti processuali interni; lo richiamo, tuttavia, perché illumina il senso del completamento in esame. Se il modello poggia sulla fiducia reciproca e sulla capacità di ciascuno Stato di operare in via diretta e in tempi ridottissimi, allora </w:t>
      </w:r>
      <w:r w:rsidRPr="00D035BA">
        <w:rPr>
          <w:u w:val="single"/>
        </w:rPr>
        <w:t>la qualità dei segmenti oggi disciplinati — garanzie dell’interessato, apparato sanzionatorio, infrastruttura di scambio, regime linguistico — non attiene a dettagli attuativi, ma concorre a determinare l’affidabilità stessa dell’Italia quale nodo del circuito europeo</w:t>
      </w:r>
      <w:r>
        <w:t xml:space="preserve">. </w:t>
      </w:r>
    </w:p>
    <w:p w14:paraId="6CA3328F" w14:textId="18AE5F75" w:rsidR="00A80535" w:rsidRDefault="00000000" w:rsidP="00D14101">
      <w:pPr>
        <w:spacing w:after="160" w:line="300" w:lineRule="auto"/>
        <w:jc w:val="both"/>
      </w:pPr>
      <w:r>
        <w:t>I profili di</w:t>
      </w:r>
      <w:r w:rsidR="00D14101">
        <w:t xml:space="preserve"> approfondimento</w:t>
      </w:r>
      <w:r>
        <w:t xml:space="preserve"> che seguono si collocano tutti su questo crinale: non riguardano la bontà delle singole opzioni tecniche interne, bensì la loro coerenza sistemica e la loro tenuta nella dimensione esterna del sistema.</w:t>
      </w:r>
    </w:p>
    <w:p w14:paraId="4BD79A06" w14:textId="3C4519D0" w:rsidR="00A80535" w:rsidRDefault="00D14101" w:rsidP="00D14101">
      <w:pPr>
        <w:spacing w:after="160" w:line="300" w:lineRule="auto"/>
        <w:jc w:val="both"/>
      </w:pPr>
      <w:r>
        <w:t xml:space="preserve">Ed è proprio in questa prospettiva si comprende il passaggio, che non sostituisce ma integra l’intuizione del </w:t>
      </w:r>
      <w:r w:rsidRPr="009307AE">
        <w:rPr>
          <w:i/>
          <w:iCs/>
        </w:rPr>
        <w:t>follow the money</w:t>
      </w:r>
      <w:r>
        <w:t xml:space="preserve">, verso un paradigma di </w:t>
      </w:r>
      <w:r w:rsidRPr="009307AE">
        <w:rPr>
          <w:i/>
          <w:iCs/>
        </w:rPr>
        <w:t>follow the data</w:t>
      </w:r>
      <w:r>
        <w:t xml:space="preserve">. Seguire il dato significa ricostruire il contesto informativo nel quale le decisioni criminali si coordinano, le identità si occultano e le attività illecite vengono rese apparentemente lecite. </w:t>
      </w:r>
      <w:r w:rsidRPr="00B36B41">
        <w:rPr>
          <w:u w:val="single"/>
        </w:rPr>
        <w:t xml:space="preserve">La centralità della prova digitale non attenua dunque il valore delle indagini patrimoniali e finanziarie; al contrario, ne </w:t>
      </w:r>
      <w:r w:rsidRPr="00B36B41">
        <w:rPr>
          <w:u w:val="single"/>
        </w:rPr>
        <w:lastRenderedPageBreak/>
        <w:t>amplia la portata, consentendo di collegare flussi economici, comunicazioni, accessi, localizzazioni e infrastrutture digitali in un quadro probatorio coerente</w:t>
      </w:r>
      <w:r>
        <w:t>.</w:t>
      </w:r>
    </w:p>
    <w:p w14:paraId="4ACBD61D" w14:textId="17AEB199" w:rsidR="00D14101" w:rsidRDefault="005D589A" w:rsidP="00D14101">
      <w:pPr>
        <w:spacing w:after="160" w:line="300" w:lineRule="auto"/>
        <w:jc w:val="both"/>
      </w:pPr>
      <w:r>
        <w:t>È</w:t>
      </w:r>
      <w:r w:rsidR="00B36B41">
        <w:t xml:space="preserve"> ancora </w:t>
      </w:r>
      <w:r>
        <w:t xml:space="preserve">opportuno chiarire un punto che appartiene alla dimensione propria della cooperazione internazionale: il </w:t>
      </w:r>
      <w:r w:rsidRPr="009307AE">
        <w:rPr>
          <w:b/>
          <w:bCs/>
        </w:rPr>
        <w:t>rapporto tra il nuovo strumento e l’ordine europeo di indagine</w:t>
      </w:r>
      <w:r>
        <w:t xml:space="preserve">. </w:t>
      </w:r>
    </w:p>
    <w:p w14:paraId="5C797F72" w14:textId="77777777" w:rsidR="00D14101" w:rsidRDefault="00000000" w:rsidP="00D14101">
      <w:pPr>
        <w:spacing w:after="160" w:line="300" w:lineRule="auto"/>
        <w:jc w:val="both"/>
      </w:pPr>
      <w:r>
        <w:t xml:space="preserve">Il regolamento non abroga né sostituisce l’ordine europeo di indagine, così come non elide gli strumenti convenzionali operanti verso gli Stati terzi. </w:t>
      </w:r>
    </w:p>
    <w:p w14:paraId="5EB50D4C" w14:textId="77777777" w:rsidR="0002103E" w:rsidRDefault="00000000" w:rsidP="00D14101">
      <w:pPr>
        <w:spacing w:after="160" w:line="300" w:lineRule="auto"/>
        <w:jc w:val="both"/>
      </w:pPr>
      <w:r>
        <w:t>Il loro rapporto non è di successione, ma di coesistenza: l’</w:t>
      </w:r>
      <w:r w:rsidRPr="0002103E">
        <w:rPr>
          <w:i/>
          <w:iCs/>
        </w:rPr>
        <w:t>e-</w:t>
      </w:r>
      <w:proofErr w:type="spellStart"/>
      <w:r w:rsidRPr="0002103E">
        <w:rPr>
          <w:i/>
          <w:iCs/>
        </w:rPr>
        <w:t>evidence</w:t>
      </w:r>
      <w:proofErr w:type="spellEnd"/>
      <w:r>
        <w:t xml:space="preserve"> opera entro il perimetro </w:t>
      </w:r>
      <w:proofErr w:type="spellStart"/>
      <w:r>
        <w:t>unionale</w:t>
      </w:r>
      <w:proofErr w:type="spellEnd"/>
      <w:r>
        <w:t xml:space="preserve"> e con specifico riguardo alla prova elettronica detenuta dai prestatori, mentre l’ordine europeo di indagine conserva il proprio ambito, più ampio, di raccolta transnazionale della prova. </w:t>
      </w:r>
    </w:p>
    <w:p w14:paraId="293CBE9C" w14:textId="599C5D53" w:rsidR="00A80535" w:rsidRDefault="00000000" w:rsidP="00D14101">
      <w:pPr>
        <w:spacing w:after="160" w:line="300" w:lineRule="auto"/>
        <w:jc w:val="both"/>
      </w:pPr>
      <w:r>
        <w:t>Ne deriva un sistema a più strumenti, ciascuno con presupposti, garanzie e tempi propri.</w:t>
      </w:r>
    </w:p>
    <w:p w14:paraId="15928FAE" w14:textId="77777777" w:rsidR="00B36B41" w:rsidRDefault="00000000" w:rsidP="0002103E">
      <w:pPr>
        <w:spacing w:after="160" w:line="300" w:lineRule="auto"/>
        <w:jc w:val="both"/>
      </w:pPr>
      <w:r>
        <w:t xml:space="preserve">La coesistenza di più canali costituisce una risorsa, ma introduce anche un </w:t>
      </w:r>
      <w:r w:rsidRPr="009307AE">
        <w:rPr>
          <w:b/>
          <w:bCs/>
        </w:rPr>
        <w:t>onere di selezione</w:t>
      </w:r>
      <w:r>
        <w:t xml:space="preserve">. L’autorità procedente sarà chiamata a individuare, </w:t>
      </w:r>
      <w:r w:rsidRPr="00B36B41">
        <w:rPr>
          <w:u w:val="single"/>
        </w:rPr>
        <w:t>caso per caso</w:t>
      </w:r>
      <w:r>
        <w:t xml:space="preserve">, lo strumento più adeguato: </w:t>
      </w:r>
    </w:p>
    <w:p w14:paraId="3B58D277" w14:textId="77777777" w:rsidR="00B36B41" w:rsidRDefault="00B36B41" w:rsidP="0002103E">
      <w:pPr>
        <w:spacing w:after="160" w:line="300" w:lineRule="auto"/>
        <w:jc w:val="both"/>
      </w:pPr>
      <w:r>
        <w:t xml:space="preserve">-l’ordine europeo di produzione, quando la via diretta risulti la più rapida ed efficace; </w:t>
      </w:r>
    </w:p>
    <w:p w14:paraId="45A08C9D" w14:textId="598EE6A3" w:rsidR="0002103E" w:rsidRDefault="00B36B41" w:rsidP="0002103E">
      <w:pPr>
        <w:spacing w:after="160" w:line="300" w:lineRule="auto"/>
        <w:jc w:val="both"/>
      </w:pPr>
      <w:r>
        <w:t xml:space="preserve">-l’ordine europeo di indagine o la mutua assistenza, quando ragioni di conflitto di leggi, di immunità, di privilegi, di segreto professionale, di libertà di stampa o di collegamento con Stati terzi consiglino un percorso più garantito. </w:t>
      </w:r>
    </w:p>
    <w:p w14:paraId="1A6925C4" w14:textId="62CBF5C6" w:rsidR="00A80535" w:rsidRDefault="00000000" w:rsidP="0002103E">
      <w:pPr>
        <w:spacing w:after="160" w:line="300" w:lineRule="auto"/>
        <w:jc w:val="both"/>
      </w:pPr>
      <w:r>
        <w:t xml:space="preserve">Si tratta di una scelta che non è meramente tecnica, ma implica una </w:t>
      </w:r>
      <w:r w:rsidRPr="00B36B41">
        <w:rPr>
          <w:u w:val="single"/>
        </w:rPr>
        <w:t>valutazione di opportunità dai riflessi internazionali</w:t>
      </w:r>
      <w:r>
        <w:t>, poiché dalla corretta selezione dello strumento dipendono tanto l’efficacia dell’azione quanto la spendibilità del suo risultato.</w:t>
      </w:r>
    </w:p>
    <w:p w14:paraId="446809BE" w14:textId="1C9123B5" w:rsidR="0002103E" w:rsidRDefault="00000000" w:rsidP="0002103E">
      <w:pPr>
        <w:spacing w:after="160" w:line="300" w:lineRule="auto"/>
        <w:jc w:val="both"/>
      </w:pPr>
      <w:r>
        <w:t xml:space="preserve">La criticità che qui si annida non attiene, ancora una volta, allo schema in esame — che correttamente non se ne occupa — bensì </w:t>
      </w:r>
      <w:r w:rsidR="00D035BA">
        <w:t xml:space="preserve">interesserà </w:t>
      </w:r>
      <w:r>
        <w:t>la sua fase applicativa: l’assenza di orientamenti condivisi nella scelta tra strumenti concorrenti</w:t>
      </w:r>
      <w:r w:rsidR="0002103E">
        <w:t xml:space="preserve"> potrebbe infatti</w:t>
      </w:r>
      <w:r>
        <w:t xml:space="preserve"> generare </w:t>
      </w:r>
      <w:r w:rsidR="00B36B41">
        <w:t xml:space="preserve">il </w:t>
      </w:r>
      <w:r w:rsidR="00B36B41" w:rsidRPr="00B36B41">
        <w:rPr>
          <w:b/>
          <w:bCs/>
        </w:rPr>
        <w:t xml:space="preserve">rischio di </w:t>
      </w:r>
      <w:r w:rsidRPr="00B36B41">
        <w:rPr>
          <w:b/>
          <w:bCs/>
        </w:rPr>
        <w:t>prassi disomogenee tra uffici e tra Stati</w:t>
      </w:r>
      <w:r>
        <w:t xml:space="preserve">, con conseguente incertezza per gli operatori e per i prestatori. </w:t>
      </w:r>
    </w:p>
    <w:p w14:paraId="4EDA816E" w14:textId="2F435030" w:rsidR="00A80535" w:rsidRDefault="00000000" w:rsidP="0002103E">
      <w:pPr>
        <w:spacing w:after="160" w:line="300" w:lineRule="auto"/>
        <w:jc w:val="both"/>
      </w:pPr>
      <w:r>
        <w:t>È un profilo che segnalo perché la coerenza nella selezione dello strumento è, essa stessa, un fattore di affidabilità del sistema-Paese nei rapporti di cooperazione.</w:t>
      </w:r>
    </w:p>
    <w:p w14:paraId="58519834" w14:textId="04F5E61E" w:rsidR="0002103E" w:rsidRDefault="0002103E" w:rsidP="0002103E">
      <w:pPr>
        <w:spacing w:after="160" w:line="300" w:lineRule="auto"/>
        <w:jc w:val="both"/>
      </w:pPr>
      <w:r>
        <w:t xml:space="preserve">In questo ambito, nei </w:t>
      </w:r>
      <w:r w:rsidRPr="00B36B41">
        <w:rPr>
          <w:b/>
          <w:bCs/>
          <w:u w:val="single"/>
        </w:rPr>
        <w:t>programmi di assistenza tecnica internazionale sviluppati dalla diplomazia giuridica italiana</w:t>
      </w:r>
      <w:r>
        <w:t xml:space="preserve">, abbiamo infatti propiziato l’adozione su larga scala di guide </w:t>
      </w:r>
      <w:r w:rsidRPr="009307AE">
        <w:rPr>
          <w:i/>
          <w:iCs/>
        </w:rPr>
        <w:t>step by step</w:t>
      </w:r>
      <w:r>
        <w:t xml:space="preserve"> proprio per il cd. </w:t>
      </w:r>
      <w:r w:rsidR="009307AE">
        <w:t>c</w:t>
      </w:r>
      <w:r>
        <w:t>ontrasto patrimoniale e l’</w:t>
      </w:r>
      <w:r w:rsidRPr="009307AE">
        <w:rPr>
          <w:i/>
          <w:iCs/>
        </w:rPr>
        <w:t>asset recovery</w:t>
      </w:r>
      <w:r>
        <w:t>, forti di una esperienza consistente ed importante acquisita dal nostro Paese, leader indiscusso a livello internazionale, dai fori multilaterali come il g20 e le Nazioni Unite.</w:t>
      </w:r>
    </w:p>
    <w:p w14:paraId="40ECD78E" w14:textId="1126BFFD" w:rsidR="00F85099" w:rsidRDefault="009307AE" w:rsidP="0002103E">
      <w:pPr>
        <w:spacing w:after="160" w:line="300" w:lineRule="auto"/>
        <w:jc w:val="both"/>
      </w:pPr>
      <w:r>
        <w:lastRenderedPageBreak/>
        <w:t xml:space="preserve">Proprio in questi giorni abbiamo organizzato una riunione tra magistrati di 22 Paesi per </w:t>
      </w:r>
      <w:r w:rsidR="00F85099">
        <w:t>tendere a standard comuni nelle prassi applicative dell’</w:t>
      </w:r>
      <w:r w:rsidR="00F85099" w:rsidRPr="00F85099">
        <w:rPr>
          <w:i/>
          <w:iCs/>
        </w:rPr>
        <w:t>asset recovery</w:t>
      </w:r>
      <w:r w:rsidR="00B36B41">
        <w:t xml:space="preserve"> e della cooperazione giudiziaria a livello internazionale.</w:t>
      </w:r>
    </w:p>
    <w:p w14:paraId="2FA43FC4" w14:textId="1C054DC7" w:rsidR="00A80535" w:rsidRDefault="00000000" w:rsidP="0002103E">
      <w:pPr>
        <w:spacing w:after="160" w:line="300" w:lineRule="auto"/>
        <w:jc w:val="both"/>
      </w:pPr>
      <w:r>
        <w:t>Ne discende che la scelta tra ordine europeo di produzione, ordine europeo di conservazione, ordine europeo di indagine e mutua assistenza dovrebbe</w:t>
      </w:r>
      <w:r w:rsidR="00F85099">
        <w:t xml:space="preserve"> seguire tendenzialmente </w:t>
      </w:r>
      <w:r w:rsidR="00F85099" w:rsidRPr="00615903">
        <w:rPr>
          <w:b/>
          <w:bCs/>
        </w:rPr>
        <w:t>criteri di logica e sostenibilità</w:t>
      </w:r>
      <w:r>
        <w:t xml:space="preserve">. </w:t>
      </w:r>
      <w:r w:rsidR="0002103E" w:rsidRPr="00615903">
        <w:rPr>
          <w:u w:val="single"/>
        </w:rPr>
        <w:t>Ferma restando, naturalmente, ogni autonoma ed indipendente determinazione della giurisdizione</w:t>
      </w:r>
      <w:r w:rsidR="0002103E">
        <w:t xml:space="preserve">, potrebbero risultare </w:t>
      </w:r>
      <w:r w:rsidR="0002103E" w:rsidRPr="00615903">
        <w:rPr>
          <w:b/>
          <w:bCs/>
          <w:u w:val="single"/>
        </w:rPr>
        <w:t xml:space="preserve">utili </w:t>
      </w:r>
      <w:r w:rsidRPr="00615903">
        <w:rPr>
          <w:b/>
          <w:bCs/>
          <w:u w:val="single"/>
        </w:rPr>
        <w:t xml:space="preserve">criteri applicativi </w:t>
      </w:r>
      <w:r w:rsidR="0002103E" w:rsidRPr="00615903">
        <w:rPr>
          <w:b/>
          <w:bCs/>
          <w:u w:val="single"/>
        </w:rPr>
        <w:t>suggeriti</w:t>
      </w:r>
      <w:r>
        <w:t xml:space="preserve">, </w:t>
      </w:r>
      <w:r w:rsidRPr="00615903">
        <w:rPr>
          <w:b/>
          <w:bCs/>
          <w:u w:val="single"/>
        </w:rPr>
        <w:t>conoscibili e costantemente aggiornati</w:t>
      </w:r>
      <w:r>
        <w:t xml:space="preserve">, </w:t>
      </w:r>
      <w:r w:rsidRPr="00615903">
        <w:rPr>
          <w:b/>
          <w:bCs/>
          <w:u w:val="single"/>
        </w:rPr>
        <w:t>anche attraverso percorsi formativi comuni</w:t>
      </w:r>
      <w:r>
        <w:t>, affinché la rapidità dello strumento non si traduca in frammentazione operativa e affinché la prova acquisita conservi piena spendibilità nel procedimento nazionale e nella cooperazione internazionale.</w:t>
      </w:r>
    </w:p>
    <w:p w14:paraId="569EB581" w14:textId="77777777" w:rsidR="008A57F2" w:rsidRDefault="008A57F2" w:rsidP="0002103E">
      <w:pPr>
        <w:spacing w:after="160" w:line="300" w:lineRule="auto"/>
        <w:jc w:val="both"/>
      </w:pPr>
    </w:p>
    <w:p w14:paraId="4B2EFDC5" w14:textId="77777777" w:rsidR="00A80535" w:rsidRDefault="00000000">
      <w:pPr>
        <w:pStyle w:val="Titolo1"/>
        <w:keepNext/>
      </w:pPr>
      <w:r>
        <w:t>4. Il raccordo con la cooperazione verso gli Stati terzi</w:t>
      </w:r>
    </w:p>
    <w:p w14:paraId="2EB9D80E" w14:textId="562431F1" w:rsidR="0002103E" w:rsidRDefault="00F85099" w:rsidP="0002103E">
      <w:pPr>
        <w:spacing w:after="160" w:line="300" w:lineRule="auto"/>
        <w:jc w:val="both"/>
      </w:pPr>
      <w:r>
        <w:t>Ulteriore e, a mio avviso, rilevante</w:t>
      </w:r>
      <w:r w:rsidR="0002103E">
        <w:t xml:space="preserve"> tema di approfondimento</w:t>
      </w:r>
      <w:r>
        <w:t xml:space="preserve"> attiene al raccordo tra il canale </w:t>
      </w:r>
      <w:r w:rsidR="00D035BA">
        <w:t>“</w:t>
      </w:r>
      <w:proofErr w:type="spellStart"/>
      <w:r w:rsidRPr="00D035BA">
        <w:rPr>
          <w:i/>
          <w:iCs/>
        </w:rPr>
        <w:t>unionale</w:t>
      </w:r>
      <w:proofErr w:type="spellEnd"/>
      <w:r w:rsidR="00D035BA">
        <w:t>”</w:t>
      </w:r>
      <w:r>
        <w:t xml:space="preserve"> e i canali di cooperazione con gli Stati terzi. </w:t>
      </w:r>
    </w:p>
    <w:p w14:paraId="334EBEE2" w14:textId="77777777" w:rsidR="0002103E" w:rsidRDefault="00000000" w:rsidP="0002103E">
      <w:pPr>
        <w:spacing w:after="160" w:line="300" w:lineRule="auto"/>
        <w:jc w:val="both"/>
      </w:pPr>
      <w:r>
        <w:t xml:space="preserve">Il regolamento opera entro il perimetro dell’Unione, ma i dati richiesti e gli operatori destinatari sono frequentemente collegati a </w:t>
      </w:r>
      <w:r w:rsidRPr="00615903">
        <w:rPr>
          <w:b/>
          <w:bCs/>
        </w:rPr>
        <w:t>giurisdizioni non appartenenti allo spazio europeo</w:t>
      </w:r>
      <w:r>
        <w:t xml:space="preserve">. </w:t>
      </w:r>
    </w:p>
    <w:p w14:paraId="16D43F14" w14:textId="77777777" w:rsidR="0002103E" w:rsidRDefault="00000000" w:rsidP="0002103E">
      <w:pPr>
        <w:spacing w:after="160" w:line="300" w:lineRule="auto"/>
        <w:jc w:val="both"/>
      </w:pPr>
      <w:r>
        <w:t xml:space="preserve">Un prestatore che offre servizi nell’Unione, e perciò tenuto a designare uno stabilimento o un rappresentante legale ai fini della ricezione degli ordini, può al tempo stesso essere soggetto agli obblighi dell’ordinamento di un Paese terzo. </w:t>
      </w:r>
    </w:p>
    <w:p w14:paraId="64CA57EA" w14:textId="6EFDB9F8" w:rsidR="00A80535" w:rsidRDefault="00000000" w:rsidP="0002103E">
      <w:pPr>
        <w:spacing w:after="160" w:line="300" w:lineRule="auto"/>
        <w:jc w:val="both"/>
      </w:pPr>
      <w:r>
        <w:t>L’ipotesi più nota è quella dei prestatori assoggettati alla legislazione statunitense e, in particolare, al CLOUD Act.</w:t>
      </w:r>
    </w:p>
    <w:p w14:paraId="685F7E6E" w14:textId="77777777" w:rsidR="0002103E" w:rsidRDefault="00000000" w:rsidP="0002103E">
      <w:pPr>
        <w:spacing w:after="160" w:line="300" w:lineRule="auto"/>
        <w:jc w:val="both"/>
      </w:pPr>
      <w:r>
        <w:t xml:space="preserve">Il regolamento è consapevole di tale tensione e vi dedica </w:t>
      </w:r>
      <w:r w:rsidRPr="00615903">
        <w:rPr>
          <w:b/>
          <w:bCs/>
        </w:rPr>
        <w:t>il meccanismo dell’articolo 17</w:t>
      </w:r>
      <w:r>
        <w:t xml:space="preserve">, che consente al destinatario di sollevare obiezione motivata quando l’ottemperanza all’ordine europeo di produzione contrasti con un obbligo derivante dal diritto di un Paese terzo, con conseguente riesame giurisdizionale nello Stato di emissione e possibilità di interlocuzione con l’autorità del Paese terzo. </w:t>
      </w:r>
    </w:p>
    <w:p w14:paraId="46B03F47" w14:textId="77777777" w:rsidR="0002103E" w:rsidRDefault="00000000" w:rsidP="0002103E">
      <w:pPr>
        <w:spacing w:after="160" w:line="300" w:lineRule="auto"/>
        <w:jc w:val="both"/>
      </w:pPr>
      <w:r>
        <w:t xml:space="preserve">La sezione E del modulo allegato al regolamento tipizza le informazioni da fornire in caso di obblighi contrastanti. </w:t>
      </w:r>
    </w:p>
    <w:p w14:paraId="419B94AF" w14:textId="32822AC9" w:rsidR="00A80535" w:rsidRDefault="00000000" w:rsidP="0002103E">
      <w:pPr>
        <w:spacing w:after="160" w:line="300" w:lineRule="auto"/>
        <w:jc w:val="both"/>
      </w:pPr>
      <w:r>
        <w:t>Si tratta, tuttavia, di un rimedio che interviene a valle, sul singolo ordine, e che non risolve a monte il problema del coordinamento tra i due binari.</w:t>
      </w:r>
    </w:p>
    <w:p w14:paraId="12059729" w14:textId="6AEFACAF" w:rsidR="0002103E" w:rsidRDefault="00000000" w:rsidP="0002103E">
      <w:pPr>
        <w:spacing w:after="160" w:line="300" w:lineRule="auto"/>
        <w:jc w:val="both"/>
      </w:pPr>
      <w:r>
        <w:t xml:space="preserve">Accanto al canale </w:t>
      </w:r>
      <w:r w:rsidR="00D035BA">
        <w:t xml:space="preserve">UE </w:t>
      </w:r>
      <w:r>
        <w:t xml:space="preserve">permangono, infatti, gli strumenti rivolti agli Stati terzi: la mutua assistenza convenzionale, l’ordine europeo di indagine per i rapporti interni all’Unione e, soprattutto, il Secondo Protocollo addizionale alla Convenzione di Budapest sulla criminalità informatica, dedicato alla cooperazione rafforzata e alla divulgazione delle prove elettroniche, </w:t>
      </w:r>
      <w:r>
        <w:lastRenderedPageBreak/>
        <w:t xml:space="preserve">aperto alla firma a Strasburgo nel maggio 2022 sotto presidenza italiana del Comitato dei Ministri del Consiglio d’Europa, cui l’Italia partecipa e il cui perfezionamento nell’ordinamento interno costituisce parte del medesimo disegno di modernizzazione. </w:t>
      </w:r>
    </w:p>
    <w:p w14:paraId="08A3CDE7" w14:textId="0618EFE8" w:rsidR="00A80535" w:rsidRDefault="00000000" w:rsidP="0002103E">
      <w:pPr>
        <w:spacing w:after="160" w:line="300" w:lineRule="auto"/>
        <w:jc w:val="both"/>
      </w:pPr>
      <w:r>
        <w:t xml:space="preserve">Sullo sfondo si colloca, inoltre, il negoziato per un accordo tra l’Unione europea e gli Stati Uniti d’America in materia di accesso transfrontaliero alle prove elettroniche, la cui ripresa è stata resa possibile proprio dall’adozione del pacchetto </w:t>
      </w:r>
      <w:r w:rsidRPr="0002103E">
        <w:rPr>
          <w:i/>
          <w:iCs/>
        </w:rPr>
        <w:t>e-</w:t>
      </w:r>
      <w:proofErr w:type="spellStart"/>
      <w:r w:rsidRPr="0002103E">
        <w:rPr>
          <w:i/>
          <w:iCs/>
        </w:rPr>
        <w:t>evidence</w:t>
      </w:r>
      <w:proofErr w:type="spellEnd"/>
      <w:r>
        <w:t>.</w:t>
      </w:r>
    </w:p>
    <w:p w14:paraId="2E748314" w14:textId="4D3E1BD4" w:rsidR="0002103E" w:rsidRDefault="00000000" w:rsidP="0002103E">
      <w:pPr>
        <w:spacing w:after="160" w:line="300" w:lineRule="auto"/>
        <w:jc w:val="both"/>
      </w:pPr>
      <w:r>
        <w:t xml:space="preserve">Vale la pena sottolineare che l’ambito soggettivo del regolamento non è delimitato dal luogo della sede principale del prestatore, bensì dall’offerta di servizi nel mercato dell’Unione: anche gli operatori stabiliti in Paesi terzi vi rientrano, dovendo designare un rappresentante legale nell’Unione. Tale criterio funzionale — analogo a quello già adottato in materia di protezione dei dati personali — proietta la disciplina europea oltre i confini dello spazio </w:t>
      </w:r>
      <w:proofErr w:type="spellStart"/>
      <w:r>
        <w:t>unionale</w:t>
      </w:r>
      <w:proofErr w:type="spellEnd"/>
      <w:r>
        <w:t xml:space="preserve"> e, con essa, sposta il baricentro della questione sul terreno dei rapporti tra ordinamenti e della sovranità sui dati. </w:t>
      </w:r>
    </w:p>
    <w:p w14:paraId="0F1EBF9B" w14:textId="7B84BDDB" w:rsidR="00A80535" w:rsidRDefault="00000000" w:rsidP="0002103E">
      <w:pPr>
        <w:spacing w:after="160" w:line="300" w:lineRule="auto"/>
        <w:jc w:val="both"/>
      </w:pPr>
      <w:r>
        <w:t xml:space="preserve">È proprio in ragione di questa estensione </w:t>
      </w:r>
      <w:r w:rsidRPr="00615903">
        <w:rPr>
          <w:u w:val="single"/>
        </w:rPr>
        <w:t>che il tema del conflitto con gli obblighi di Paesi terzi non è marginale né eventuale, ma strutturale al funzionamento ordinario del sistema</w:t>
      </w:r>
      <w:r>
        <w:t>.</w:t>
      </w:r>
    </w:p>
    <w:p w14:paraId="02E99602" w14:textId="18B16C5F" w:rsidR="0002103E" w:rsidRDefault="00000000" w:rsidP="0002103E">
      <w:pPr>
        <w:spacing w:after="160" w:line="300" w:lineRule="auto"/>
        <w:jc w:val="both"/>
      </w:pPr>
      <w:r>
        <w:t xml:space="preserve">Un elemento ulteriore rende il raccordo particolarmente delicato. La cooperazione con gli Stati terzi non si esaurisce </w:t>
      </w:r>
      <w:r w:rsidR="0002103E">
        <w:t xml:space="preserve">infatti </w:t>
      </w:r>
      <w:r>
        <w:t xml:space="preserve">nella dimensione della prova, ma si interseca con quella, distinta ma contigua, dei trasferimenti di dati personali verso Paesi non appartenenti allo spazio </w:t>
      </w:r>
      <w:r w:rsidR="00D035BA">
        <w:t>UE</w:t>
      </w:r>
      <w:r>
        <w:t>, presidiat</w:t>
      </w:r>
      <w:r w:rsidR="00615903">
        <w:t>o</w:t>
      </w:r>
      <w:r>
        <w:t xml:space="preserve"> da un quadro di garanzie di adeguatezza che la giurisprudenza europea ha mostrato di sorvegliare con rigore. </w:t>
      </w:r>
    </w:p>
    <w:p w14:paraId="6237FA5F" w14:textId="77777777" w:rsidR="00A80535" w:rsidRDefault="00000000" w:rsidP="007E5E66">
      <w:pPr>
        <w:spacing w:after="160" w:line="300" w:lineRule="auto"/>
        <w:jc w:val="both"/>
      </w:pPr>
      <w:r>
        <w:t xml:space="preserve">È precisamente su questo terreno che la diplomazia giuridica e l’assistenza tecnica possono svolgere una funzione preventiva. Nei rapporti con Stati terzi, soprattutto quando il dato è detenuto da operatori globali o attraversa infrastrutture collocate fuori dall’Unione, non basta disporre di un meccanismo europeo efficiente: </w:t>
      </w:r>
      <w:r w:rsidRPr="00615903">
        <w:rPr>
          <w:u w:val="single"/>
        </w:rPr>
        <w:t>occorre promuovere standard convergenti in materia di conservazione, autenticità, integrità, catena di custodia, protezione dei dati e rimedi effettivi</w:t>
      </w:r>
      <w:r>
        <w:t>.</w:t>
      </w:r>
    </w:p>
    <w:p w14:paraId="188D0906" w14:textId="77777777" w:rsidR="00A80535" w:rsidRDefault="00000000" w:rsidP="007E5E66">
      <w:pPr>
        <w:spacing w:after="160" w:line="300" w:lineRule="auto"/>
        <w:jc w:val="both"/>
      </w:pPr>
      <w:r>
        <w:t xml:space="preserve">L’esperienza maturata nei programmi di </w:t>
      </w:r>
      <w:proofErr w:type="spellStart"/>
      <w:r w:rsidRPr="00F85099">
        <w:rPr>
          <w:i/>
          <w:iCs/>
        </w:rPr>
        <w:t>capacity</w:t>
      </w:r>
      <w:proofErr w:type="spellEnd"/>
      <w:r w:rsidRPr="00F85099">
        <w:rPr>
          <w:i/>
          <w:iCs/>
        </w:rPr>
        <w:t xml:space="preserve"> building</w:t>
      </w:r>
      <w:r>
        <w:t xml:space="preserve"> in materia di giustizia e sicurezza mostra che la cooperazione probatoria funziona solo </w:t>
      </w:r>
      <w:r w:rsidRPr="00615903">
        <w:rPr>
          <w:u w:val="single"/>
        </w:rPr>
        <w:t>quando gli interlocutori condividono non soltanto il fine repressivo, ma anche le condizioni di legalità dell’acquisizione</w:t>
      </w:r>
      <w:r>
        <w:t>. La prova digitale, per sua natura volatile e facilmente duplicabile, rende tale esigenza ancora più stringente: l’affidabilità tecnica del dato e la riconoscibilità giuridica delle garanzie devono procedere insieme.</w:t>
      </w:r>
    </w:p>
    <w:p w14:paraId="605B9254" w14:textId="77777777" w:rsidR="007E5E66" w:rsidRDefault="007E5E66">
      <w:pPr>
        <w:pStyle w:val="Titolo1"/>
        <w:keepNext/>
      </w:pPr>
    </w:p>
    <w:p w14:paraId="1B03AF4F" w14:textId="6D6B702A" w:rsidR="00AF319F" w:rsidRDefault="00000000" w:rsidP="00DB6241">
      <w:pPr>
        <w:pStyle w:val="Titolo1"/>
        <w:keepNext/>
      </w:pPr>
      <w:r>
        <w:t>5. La simmetria dei motivi di rifiuto e la tenuta della fiducia reciproca</w:t>
      </w:r>
    </w:p>
    <w:p w14:paraId="3E90E089" w14:textId="77777777" w:rsidR="00AF319F" w:rsidRDefault="00000000" w:rsidP="007E5E66">
      <w:pPr>
        <w:spacing w:after="160" w:line="300" w:lineRule="auto"/>
        <w:jc w:val="both"/>
      </w:pPr>
      <w:r>
        <w:t>A</w:t>
      </w:r>
      <w:r w:rsidR="00AF319F">
        <w:t>ltro tema degno di approfondimento ha natura</w:t>
      </w:r>
      <w:r>
        <w:t xml:space="preserve"> strutturale, </w:t>
      </w:r>
      <w:r w:rsidR="00AF319F">
        <w:t>ed</w:t>
      </w:r>
      <w:r>
        <w:t xml:space="preserve"> attiene all’architettura stessa della fiducia reciproca su cui il sistema riposa. </w:t>
      </w:r>
    </w:p>
    <w:p w14:paraId="7CCF7990" w14:textId="77777777" w:rsidR="00AF319F" w:rsidRDefault="00000000" w:rsidP="00AF319F">
      <w:pPr>
        <w:spacing w:after="160" w:line="300" w:lineRule="auto"/>
        <w:jc w:val="both"/>
      </w:pPr>
      <w:r>
        <w:lastRenderedPageBreak/>
        <w:t xml:space="preserve">Sotto un primo aspetto, il modello </w:t>
      </w:r>
      <w:r w:rsidRPr="00AF319F">
        <w:rPr>
          <w:i/>
          <w:iCs/>
        </w:rPr>
        <w:t>e-</w:t>
      </w:r>
      <w:proofErr w:type="spellStart"/>
      <w:r w:rsidRPr="00AF319F">
        <w:rPr>
          <w:i/>
          <w:iCs/>
        </w:rPr>
        <w:t>evidence</w:t>
      </w:r>
      <w:proofErr w:type="spellEnd"/>
      <w:r>
        <w:t xml:space="preserve"> si distacca sensibilmente dall’ordine europeo di indagine, che aveva fatto tesoro delle criticità emerse con il mandato di arresto europeo attribuendo all’autorità di esecuzione un ruolo centrale e prevedendo un motivo di rifiuto fondato sulla violazione dei diritti fondamentali. </w:t>
      </w:r>
    </w:p>
    <w:p w14:paraId="578AA490" w14:textId="77777777" w:rsidR="00AF319F" w:rsidRDefault="00000000" w:rsidP="00AF319F">
      <w:pPr>
        <w:spacing w:after="160" w:line="300" w:lineRule="auto"/>
        <w:jc w:val="both"/>
      </w:pPr>
      <w:r>
        <w:t>Nel nuovo sistema, per contro, il rapporto si instaura in via ordinaria tra autorità di emissione e prestatore</w:t>
      </w:r>
      <w:r w:rsidR="00AF319F">
        <w:t xml:space="preserve"> di servizi</w:t>
      </w:r>
      <w:r>
        <w:t xml:space="preserve">, e il ruolo dell’autorità di esecuzione riemerge in forma piena solo nelle ipotesi tipizzate. </w:t>
      </w:r>
    </w:p>
    <w:p w14:paraId="3E9AADD7" w14:textId="63448AB8" w:rsidR="00A80535" w:rsidRDefault="00000000" w:rsidP="00AF319F">
      <w:pPr>
        <w:spacing w:after="160" w:line="300" w:lineRule="auto"/>
        <w:jc w:val="both"/>
      </w:pPr>
      <w:r>
        <w:t xml:space="preserve">Ne deriva che </w:t>
      </w:r>
      <w:r w:rsidR="00AF319F">
        <w:t xml:space="preserve">i </w:t>
      </w:r>
      <w:r>
        <w:t>presidi tradizionali della cooperazione — come il principio della doppia incriminazione — operano in modo circoscritto, essenzialmente nell’ambito del regime con notifica, mentre restano estranei alle ipotesi in cui l’ordine opera in via diretta.</w:t>
      </w:r>
    </w:p>
    <w:p w14:paraId="3259334E" w14:textId="77777777" w:rsidR="00AF319F" w:rsidRDefault="00000000" w:rsidP="00AF319F">
      <w:pPr>
        <w:spacing w:after="160" w:line="300" w:lineRule="auto"/>
        <w:jc w:val="both"/>
      </w:pPr>
      <w:r>
        <w:t xml:space="preserve">Sotto un secondo aspetto, e specularmente, la posizione del soggetto passivo del provvedimento risulta ridefinita: il destinatario dell’ordine può opporre un catalogo tassativo di motivi, ma non è a lui rimessa la deduzione della </w:t>
      </w:r>
      <w:r w:rsidRPr="00615903">
        <w:rPr>
          <w:u w:val="single"/>
        </w:rPr>
        <w:t>violazione dei diritti fondamentali</w:t>
      </w:r>
      <w:r>
        <w:t xml:space="preserve">, la cui </w:t>
      </w:r>
      <w:r w:rsidRPr="00615903">
        <w:rPr>
          <w:u w:val="single"/>
        </w:rPr>
        <w:t>tutela</w:t>
      </w:r>
      <w:r>
        <w:t xml:space="preserve"> è </w:t>
      </w:r>
      <w:r w:rsidRPr="00615903">
        <w:rPr>
          <w:u w:val="single"/>
        </w:rPr>
        <w:t xml:space="preserve">affidata ai rimedi esperibili nello Stato di emissione e, </w:t>
      </w:r>
      <w:r w:rsidR="00AF319F" w:rsidRPr="00615903">
        <w:rPr>
          <w:u w:val="single"/>
        </w:rPr>
        <w:t>in</w:t>
      </w:r>
      <w:r w:rsidRPr="00615903">
        <w:rPr>
          <w:u w:val="single"/>
        </w:rPr>
        <w:t xml:space="preserve"> circostanze eccezionali, all’intervento dell’autorità di esecuzione</w:t>
      </w:r>
      <w:r>
        <w:t xml:space="preserve">. </w:t>
      </w:r>
    </w:p>
    <w:p w14:paraId="4F0BE2ED" w14:textId="310BF23F" w:rsidR="00A80535" w:rsidRPr="00F85099" w:rsidRDefault="00000000" w:rsidP="00AF319F">
      <w:pPr>
        <w:spacing w:after="160" w:line="300" w:lineRule="auto"/>
        <w:jc w:val="both"/>
        <w:rPr>
          <w:b/>
          <w:bCs/>
        </w:rPr>
      </w:pPr>
      <w:r w:rsidRPr="00F85099">
        <w:rPr>
          <w:b/>
          <w:bCs/>
        </w:rPr>
        <w:t>Il baricentro delle garanzie si sposta così, in via prevalente, sull’ordinamento che emette l’ordine.</w:t>
      </w:r>
    </w:p>
    <w:p w14:paraId="035868FF" w14:textId="77777777" w:rsidR="00AF319F" w:rsidRDefault="00000000" w:rsidP="00AF319F">
      <w:pPr>
        <w:spacing w:after="160" w:line="300" w:lineRule="auto"/>
        <w:jc w:val="both"/>
      </w:pPr>
      <w:r>
        <w:t xml:space="preserve">La criticità di sistema che ne discende è la seguente: un modello che riduce i controlli intermedi e concentra le garanzie a monte è sostenibile soltanto se ciascun ordinamento è in grado di assicurare, in modo effettivo e riconoscibile, il livello di tutela che gli altri sono chiamati a presupporre. </w:t>
      </w:r>
    </w:p>
    <w:p w14:paraId="05AF348B" w14:textId="77777777" w:rsidR="00AF319F" w:rsidRDefault="00000000" w:rsidP="00AF319F">
      <w:pPr>
        <w:spacing w:after="160" w:line="300" w:lineRule="auto"/>
        <w:jc w:val="both"/>
      </w:pPr>
      <w:r>
        <w:t xml:space="preserve">La fiducia reciproca, in altri termini, non è un postulato, ma il risultato di una </w:t>
      </w:r>
      <w:r w:rsidRPr="00615903">
        <w:rPr>
          <w:u w:val="single"/>
        </w:rPr>
        <w:t>simmetria reale delle garanzie</w:t>
      </w:r>
      <w:r>
        <w:t xml:space="preserve">. Là dove tale simmetria si incrini — per la debolezza dei presidi di un ordinamento, o per la loro scarsa conoscibilità dall’esterno — il sistema espone i propri atti a contestazioni e rischia di alimentare, negli altri Stati, quel ricorso ai motivi di rifiuto residui che il modello vorrebbe rendere eccezionale. </w:t>
      </w:r>
    </w:p>
    <w:p w14:paraId="160D856D" w14:textId="1F709E8C" w:rsidR="00A80535" w:rsidRDefault="00000000" w:rsidP="00AF319F">
      <w:pPr>
        <w:spacing w:after="160" w:line="300" w:lineRule="auto"/>
        <w:jc w:val="both"/>
      </w:pPr>
      <w:r>
        <w:t xml:space="preserve">Ne </w:t>
      </w:r>
      <w:r w:rsidR="00F85099">
        <w:t>con</w:t>
      </w:r>
      <w:r>
        <w:t>segue che l’Italia ha interesse, non soltanto come Stato di esecuzione ma come Stato di emissione, a che le proprie garanzie</w:t>
      </w:r>
      <w:r w:rsidR="00F85099">
        <w:t>, che sono più che</w:t>
      </w:r>
      <w:r>
        <w:t xml:space="preserve"> solide</w:t>
      </w:r>
      <w:r w:rsidR="00F85099">
        <w:t>, siano anche</w:t>
      </w:r>
      <w:r>
        <w:t xml:space="preserve"> visibili: è questa la ragione per cui i </w:t>
      </w:r>
      <w:r w:rsidR="00615903">
        <w:t xml:space="preserve">pochi </w:t>
      </w:r>
      <w:r>
        <w:t xml:space="preserve">profili </w:t>
      </w:r>
      <w:r w:rsidR="00615903">
        <w:t xml:space="preserve">qui </w:t>
      </w:r>
      <w:r>
        <w:t>trattati, apparentemente interni, hanno in realtà una dimensione squisitamente relazionale e internazionale.</w:t>
      </w:r>
    </w:p>
    <w:p w14:paraId="54FAF91C" w14:textId="77777777" w:rsidR="00615903" w:rsidRDefault="00615903" w:rsidP="00AF319F">
      <w:pPr>
        <w:spacing w:after="160" w:line="300" w:lineRule="auto"/>
        <w:jc w:val="both"/>
      </w:pPr>
    </w:p>
    <w:p w14:paraId="3288E101" w14:textId="6B50AE9C" w:rsidR="00A80535" w:rsidRDefault="00D035BA" w:rsidP="00615903">
      <w:pPr>
        <w:pStyle w:val="Titolo1"/>
        <w:keepNext/>
        <w:jc w:val="both"/>
      </w:pPr>
      <w:r>
        <w:t>6</w:t>
      </w:r>
      <w:r w:rsidR="009C1204">
        <w:t>. La riconoscibilità esterna delle garanzie: informazione all’interessato e mezzi di ricorso</w:t>
      </w:r>
    </w:p>
    <w:p w14:paraId="482CB526" w14:textId="4500AEDA" w:rsidR="00A80535" w:rsidRDefault="009C1204" w:rsidP="009C1204">
      <w:pPr>
        <w:spacing w:after="160" w:line="300" w:lineRule="auto"/>
        <w:jc w:val="both"/>
      </w:pPr>
      <w:r>
        <w:t xml:space="preserve">Un tema spinoso concerne </w:t>
      </w:r>
      <w:r w:rsidR="00F85099">
        <w:t xml:space="preserve">altresì </w:t>
      </w:r>
      <w:r>
        <w:t xml:space="preserve">l’informazione alla persona i cui dati sono richiesti, con le connesse ipotesi di differimento o omissione, e i mezzi di ricorso, di cui alle lettere della delega attuative degli articoli 13 e 18 del regolamento. Anche in questo caso, il merito </w:t>
      </w:r>
      <w:r>
        <w:lastRenderedPageBreak/>
        <w:t>processuale della disciplina — la sua collocazione nel sistema delle invalidità, i rapporti con il segreto investigativo, la deducibilità dei vizi — è stato già compiutamente analizzato in sede tecnica e non forma oggetto del mio contributo.</w:t>
      </w:r>
    </w:p>
    <w:p w14:paraId="762E4376" w14:textId="1497C150" w:rsidR="00A80535" w:rsidRDefault="00000000" w:rsidP="009C1204">
      <w:pPr>
        <w:spacing w:after="160" w:line="300" w:lineRule="auto"/>
        <w:jc w:val="both"/>
      </w:pPr>
      <w:r>
        <w:t xml:space="preserve">Ciò su cui intendo richiamare l’attenzione è un profilo diverso e complementare: la </w:t>
      </w:r>
      <w:r w:rsidRPr="001419A4">
        <w:rPr>
          <w:b/>
          <w:bCs/>
        </w:rPr>
        <w:t>riconoscibilità esterna delle garanzie italiane</w:t>
      </w:r>
      <w:r>
        <w:t xml:space="preserve">. In un sistema che sostituisce al controllo dell’autorità di esecuzione la fiducia reciproca tra ordinamenti, la prevedibilità e la trasparenza dei presidi apprestati a favore dell’interessato — l’informazione, la puntuale motivazione del suo eventuale differimento, l’effettività del rimedio giurisdizionale — non rilevano soltanto sul piano interno, ma costituiscono la moneta della fiducia sulla quale il modello è costruito. Un ordinamento le cui </w:t>
      </w:r>
      <w:r w:rsidRPr="001419A4">
        <w:rPr>
          <w:b/>
          <w:bCs/>
        </w:rPr>
        <w:t>garanzie</w:t>
      </w:r>
      <w:r>
        <w:t xml:space="preserve"> risultino </w:t>
      </w:r>
      <w:r w:rsidRPr="001419A4">
        <w:rPr>
          <w:b/>
          <w:bCs/>
        </w:rPr>
        <w:t>chiare e verificabili dall’esterno</w:t>
      </w:r>
      <w:r>
        <w:t xml:space="preserve"> consolida la propria reputazione di partner affidabile e agevola la spendibilità transfrontaliera degli atti che emette</w:t>
      </w:r>
      <w:r w:rsidR="009C1204">
        <w:t>.</w:t>
      </w:r>
    </w:p>
    <w:p w14:paraId="67DF077E" w14:textId="6ED46118" w:rsidR="00A80535" w:rsidRDefault="009C1204" w:rsidP="009C1204">
      <w:pPr>
        <w:spacing w:after="160" w:line="300" w:lineRule="auto"/>
        <w:jc w:val="both"/>
      </w:pPr>
      <w:r>
        <w:t xml:space="preserve">Vi è l’esigenza che la disciplina dell’informazione — segnatamente nella parte in cui, in conformità all’articolo 13, paragrafo 2, del regolamento e per il tramite del rinvio alla direttiva (UE) 2016/680, consente di ritardare, limitare od omettere l’informazione stessa — e l’articolazione dei rimedi risultino formulate in modo prevedibile e trasparente anche nell’ottica di un osservatore esterno. </w:t>
      </w:r>
    </w:p>
    <w:p w14:paraId="5D0113D3" w14:textId="77777777" w:rsidR="008A57F2" w:rsidRDefault="008A57F2" w:rsidP="009C1204">
      <w:pPr>
        <w:spacing w:after="160" w:line="300" w:lineRule="auto"/>
        <w:jc w:val="both"/>
      </w:pPr>
    </w:p>
    <w:p w14:paraId="1C1376EF" w14:textId="7F60448E" w:rsidR="00A80535" w:rsidRDefault="00D035BA">
      <w:pPr>
        <w:pStyle w:val="Titolo1"/>
        <w:keepNext/>
      </w:pPr>
      <w:r>
        <w:t>7</w:t>
      </w:r>
      <w:r w:rsidR="009C1204">
        <w:t>. La fase passiva: simmetria tra ordinamenti e tempi del controllo</w:t>
      </w:r>
    </w:p>
    <w:p w14:paraId="31C65DCE" w14:textId="6BA9B560" w:rsidR="00A80535" w:rsidRDefault="009C1204" w:rsidP="009C1204">
      <w:pPr>
        <w:spacing w:after="160" w:line="300" w:lineRule="auto"/>
        <w:jc w:val="both"/>
      </w:pPr>
      <w:r>
        <w:t xml:space="preserve">Un ulteriore aspetto degno di nota riguarda la </w:t>
      </w:r>
      <w:r w:rsidRPr="001419A4">
        <w:rPr>
          <w:b/>
          <w:bCs/>
        </w:rPr>
        <w:t>posizione dell’Italia quale Stato di esecuzione</w:t>
      </w:r>
      <w:r>
        <w:t>. Il modello, a differenza dell’ordine europeo di indagine, comprime il ruolo dell’autorità di esecuzione: in numerose ipotesi l’ordine opera senza notifica, mentre nel regime con notifica le prerogative dello Stato di esecuzione devono essere esercitate entro termini particolarmente stringenti. È entro tali termini che l’autorità italiana può far valere i motivi di rifiuto a tutela di beni che appartengono al nucleo della sovranità e dell’ordine pubblico: le immunità e i privilegi riconosciuti dal diritto interno, le regole poste a presidio della libertà di stampa e di espressione e, nelle circostanze eccezionali previste, la manifesta violazione di un diritto fondamentale.</w:t>
      </w:r>
    </w:p>
    <w:p w14:paraId="22097D68" w14:textId="7B331A75" w:rsidR="00A80535" w:rsidRDefault="00000000" w:rsidP="009C1204">
      <w:pPr>
        <w:spacing w:after="160" w:line="300" w:lineRule="auto"/>
        <w:jc w:val="both"/>
      </w:pPr>
      <w:r>
        <w:t xml:space="preserve">Il punto che segnalo — e che si colloca, ancora una volta, sul terreno della sovranità e della reciprocità, non su quello della tecnica processuale — è che l’effettività di queste prerogative dipende interamente dalla capacità dell’apparato di reagire in tempi ridottissimi. Una prerogativa che l’ordinamento riconosce ma che, per </w:t>
      </w:r>
      <w:r w:rsidR="009C1204">
        <w:t xml:space="preserve">questioni di natura </w:t>
      </w:r>
      <w:r>
        <w:t>organizza</w:t>
      </w:r>
      <w:r w:rsidR="009C1204">
        <w:t>tiva</w:t>
      </w:r>
      <w:r>
        <w:t>, non è in condizione di esercitare entro i termini imposti, rischia di rimanere teorica. La compressione del ruolo dell’autorità di esecuzione, che costituisce il prezzo dell’efficienza del sistema, esige come contrappeso una capacità di risposta tempestiva e presidiata; in difetto, la tutela de</w:t>
      </w:r>
      <w:r w:rsidR="001419A4">
        <w:t>lle</w:t>
      </w:r>
      <w:r w:rsidR="00F85099">
        <w:t xml:space="preserve"> prerogative rilevanti</w:t>
      </w:r>
      <w:r>
        <w:t xml:space="preserve"> rimess</w:t>
      </w:r>
      <w:r w:rsidR="00F85099">
        <w:t>a</w:t>
      </w:r>
      <w:r>
        <w:t xml:space="preserve"> allo Stato di esecuzione si indebolisce non per scelta normativa, ma per inadeguatezza operativa.</w:t>
      </w:r>
    </w:p>
    <w:p w14:paraId="57383043" w14:textId="77777777" w:rsidR="00F85099" w:rsidRDefault="00000000" w:rsidP="009C1204">
      <w:pPr>
        <w:spacing w:after="160" w:line="300" w:lineRule="auto"/>
        <w:jc w:val="both"/>
      </w:pPr>
      <w:r>
        <w:lastRenderedPageBreak/>
        <w:t xml:space="preserve">La </w:t>
      </w:r>
      <w:r w:rsidR="00F85099">
        <w:t>dimensione</w:t>
      </w:r>
      <w:r>
        <w:t xml:space="preserve"> dell’onere si coglie appieno ove si consideri l’ordine di grandezza dei termini in gioco: nel regime con notifica l’autorità di esecuzione dispone di pochi giorni per opporre i motivi di rifiuto, e di poche ore nelle ipotesi di emergenza. Si tratta di scadenze che presuppongono non soltanto la designazione dell’autorità competente — già operata in sede di prima attuazione — ma la predisposizione di moduli organizzativi capaci di garantire continuità operativa, reperibilità e tracciabilità degli atti, in un contesto nel quale il fattore temporale è esso stesso parte della disciplina. </w:t>
      </w:r>
    </w:p>
    <w:p w14:paraId="611CC2E4" w14:textId="0F6956EB" w:rsidR="00A80535" w:rsidRDefault="00000000" w:rsidP="009C1204">
      <w:pPr>
        <w:spacing w:after="160" w:line="300" w:lineRule="auto"/>
        <w:jc w:val="both"/>
      </w:pPr>
      <w:r w:rsidRPr="00D035BA">
        <w:rPr>
          <w:u w:val="single"/>
        </w:rPr>
        <w:t>In questa cornice si inscrive anche il ruolo di trasmissione in via amministrativa affidato al Ministero della giustizia quale autorità centrale, che costituisce lo snodo attraverso cui il sistema nazionale si interfaccia con gli altri Stati membri</w:t>
      </w:r>
      <w:r>
        <w:t>: la sua efficienza è condizione della tempestività dell’intero circuito. Il profilo, per la parte organizzativa e processuale, è già stato posto in evidenza in sede tecnica; qui rileva per la sua ricaduta esterna, in quanto la tempestività della risposta italiana è, agli occhi degli altri ordinamenti, un indice diretto di affidabilità.</w:t>
      </w:r>
    </w:p>
    <w:p w14:paraId="17256D60" w14:textId="537191A6" w:rsidR="009C1204" w:rsidRPr="00282D9F" w:rsidRDefault="00000000" w:rsidP="009C1204">
      <w:pPr>
        <w:spacing w:after="160" w:line="300" w:lineRule="auto"/>
        <w:jc w:val="both"/>
        <w:rPr>
          <w:u w:val="single"/>
        </w:rPr>
      </w:pPr>
      <w:r w:rsidRPr="00282D9F">
        <w:rPr>
          <w:u w:val="single"/>
        </w:rPr>
        <w:t xml:space="preserve">In questa cornice assume </w:t>
      </w:r>
      <w:r w:rsidR="00DB6241" w:rsidRPr="00282D9F">
        <w:rPr>
          <w:u w:val="single"/>
        </w:rPr>
        <w:t xml:space="preserve">particolare </w:t>
      </w:r>
      <w:r w:rsidRPr="00282D9F">
        <w:rPr>
          <w:u w:val="single"/>
        </w:rPr>
        <w:t xml:space="preserve">rilievo, quale elemento di raccordo, il ruolo di coordinamento investigativo che l’ordinamento riserva, per le materie di rispettiva competenza, al Procuratore nazionale antimafia e antiterrorismo e al Procuratore generale presso la corte d’appello, ai quali è trasmessa copia dei certificati relativi ai delitti di maggiore allarme. </w:t>
      </w:r>
    </w:p>
    <w:p w14:paraId="2F45106C" w14:textId="77777777" w:rsidR="00A80535" w:rsidRDefault="00000000" w:rsidP="009C1204">
      <w:pPr>
        <w:spacing w:after="160" w:line="300" w:lineRule="auto"/>
        <w:jc w:val="both"/>
      </w:pPr>
      <w:r>
        <w:t>Il raccordo assume particolare importanza nelle indagini che riguardano mafie, narcotraffico, riciclaggio, corruzione transnazionale e terrorismo. In tali ambiti, la tempestiva conservazione e acquisizione dei dati può impedire la dispersione di elementi decisivi e consentire la ricostruzione di architetture criminali che si presentano reticolari, mobili e multi-giurisdizionali. La dimensione digitale, pertanto, non indebolisce la necessità di coordinamento investigativo; la rafforza, perché moltiplica i punti di accesso alla prova e i rischi di disallineamento tra autorità.</w:t>
      </w:r>
    </w:p>
    <w:p w14:paraId="13F8BF4D" w14:textId="77777777" w:rsidR="008A57F2" w:rsidRDefault="008A57F2" w:rsidP="009C1204">
      <w:pPr>
        <w:spacing w:after="160" w:line="300" w:lineRule="auto"/>
        <w:jc w:val="both"/>
      </w:pPr>
    </w:p>
    <w:p w14:paraId="0793D3E8" w14:textId="5BAAC04E" w:rsidR="00A80535" w:rsidRDefault="00D035BA">
      <w:pPr>
        <w:pStyle w:val="Titolo1"/>
        <w:keepNext/>
      </w:pPr>
      <w:r>
        <w:t>8</w:t>
      </w:r>
      <w:r w:rsidR="009C1204">
        <w:t>. Il monitoraggio statistico come strumento di fiducia reciproca</w:t>
      </w:r>
    </w:p>
    <w:p w14:paraId="4D35287F" w14:textId="77777777" w:rsidR="00A80535" w:rsidRDefault="00000000" w:rsidP="009C1204">
      <w:pPr>
        <w:spacing w:after="160" w:line="300" w:lineRule="auto"/>
        <w:jc w:val="both"/>
      </w:pPr>
      <w:r>
        <w:t>Un ultimo profilo di coerenza sistemica riguarda il monitoraggio statistico, che i criteri di delega affidano allo schema in attuazione dell’articolo 28 del regolamento, con l’attribuzione al Ministero della giustizia della raccolta, elaborazione e trasmissione dei dati alla Commissione europea. Non si tratta di un adempimento meramente contabile o burocratico. I dati raccolti — numero e tipologia degli ordini, ordini adempiuti e non adempiuti, motivi di rifiuto opposti, tempi medi di risposta, ricorsi proposti — confluiscono nel sistema europeo di valutazione periodica dell’applicazione della disciplina, anche sotto il profilo dell’impatto sui diritti fondamentali.</w:t>
      </w:r>
    </w:p>
    <w:p w14:paraId="0B5F7957" w14:textId="77777777" w:rsidR="00A80535" w:rsidRDefault="00000000" w:rsidP="009C1204">
      <w:pPr>
        <w:spacing w:after="160" w:line="300" w:lineRule="auto"/>
        <w:jc w:val="both"/>
      </w:pPr>
      <w:r>
        <w:t xml:space="preserve">Ne discende che la qualità e la completezza del monitoraggio nazionale concorrono a determinare la reputazione applicativa dell’Italia nello spazio europeo. L’esperienza degli </w:t>
      </w:r>
      <w:r>
        <w:lastRenderedPageBreak/>
        <w:t>strumenti fondati sul reciproco riconoscimento — dal mandato di arresto europeo all’ordine europeo di indagine — insegna che è proprio dalla raccolta sistematica dei dati che emergono le criticità applicative ricorrenti, cui seguono gli interventi correttivi e di armonizzazione. Un monitoraggio accurato non è, dunque, un onere, ma uno strumento di fiducia reciproca e un titolo di credibilità del sistema-Paese.</w:t>
      </w:r>
    </w:p>
    <w:p w14:paraId="68BEB2FA" w14:textId="77777777" w:rsidR="00A80535" w:rsidRDefault="00000000" w:rsidP="009C1204">
      <w:pPr>
        <w:spacing w:after="160" w:line="300" w:lineRule="auto"/>
        <w:jc w:val="both"/>
      </w:pPr>
      <w:r>
        <w:t xml:space="preserve">Questo circuito riflette una logica ormai consolidata negli strumenti </w:t>
      </w:r>
      <w:proofErr w:type="spellStart"/>
      <w:r>
        <w:t>unionali</w:t>
      </w:r>
      <w:proofErr w:type="spellEnd"/>
      <w:r>
        <w:t xml:space="preserve"> fondati sul reciproco riconoscimento, imperniata sulla sequenza attuazione–monitoraggio–correzione: è dalla raccolta ordinata dei dati che emergono le disomogeneità applicative, cui l’Unione risponde con strumenti di </w:t>
      </w:r>
      <w:r w:rsidRPr="008A57F2">
        <w:rPr>
          <w:i/>
          <w:iCs/>
        </w:rPr>
        <w:t xml:space="preserve">soft </w:t>
      </w:r>
      <w:proofErr w:type="spellStart"/>
      <w:r w:rsidRPr="008A57F2">
        <w:rPr>
          <w:i/>
          <w:iCs/>
        </w:rPr>
        <w:t>law</w:t>
      </w:r>
      <w:proofErr w:type="spellEnd"/>
      <w:r>
        <w:t>, linee guida operative e con il ruolo di raccordo affidato agli organismi di cooperazione. In questa prospettiva, la partecipazione qualificata dell’Italia al sistema di monitoraggio non è un adempimento passivo, ma un modo di concorrere alla formazione degli orientamenti comuni e, con essi, di orientare l’evoluzione dello strumento nell’interesse anche del nostro ordinamento.</w:t>
      </w:r>
    </w:p>
    <w:p w14:paraId="51AA16DD" w14:textId="77777777" w:rsidR="009C1204" w:rsidRDefault="00000000" w:rsidP="009C1204">
      <w:pPr>
        <w:spacing w:after="160" w:line="300" w:lineRule="auto"/>
        <w:jc w:val="both"/>
      </w:pPr>
      <w:r>
        <w:t xml:space="preserve">Il monitoraggio statistico può inoltre diventare uno strumento di diplomazia giuridica applicata. I dati sull’uso degli ordini, sui tempi di risposta, sui motivi di rifiuto, sulle obiezioni dei prestatori e sulle criticità ricorrenti consentiranno di individuare non solo eventuali problemi nazionali, ma anche bisogni di assistenza tecnica e formazione nei rapporti tra Stati membri e, indirettamente, nei rapporti con Paesi terzi. </w:t>
      </w:r>
    </w:p>
    <w:p w14:paraId="76E51FBF" w14:textId="60BD1A62" w:rsidR="00A80535" w:rsidRDefault="00000000" w:rsidP="009C1204">
      <w:pPr>
        <w:spacing w:after="160" w:line="300" w:lineRule="auto"/>
        <w:jc w:val="both"/>
      </w:pPr>
      <w:r>
        <w:t>In questa prospettiva, la raccolta dei dati non è mero adempimento amministrativo, ma condizione per trasformare l’esperienza applicativa in miglioramento istituzionale.</w:t>
      </w:r>
    </w:p>
    <w:p w14:paraId="43468D9E" w14:textId="77777777" w:rsidR="008A57F2" w:rsidRDefault="008A57F2" w:rsidP="009C1204">
      <w:pPr>
        <w:spacing w:after="160" w:line="300" w:lineRule="auto"/>
        <w:jc w:val="both"/>
      </w:pPr>
    </w:p>
    <w:p w14:paraId="47E9E085" w14:textId="74F75CB4" w:rsidR="00A80535" w:rsidRDefault="00D035BA" w:rsidP="008A57F2">
      <w:pPr>
        <w:pStyle w:val="Titolo1"/>
        <w:keepNext/>
        <w:jc w:val="both"/>
      </w:pPr>
      <w:r>
        <w:t>9</w:t>
      </w:r>
      <w:r w:rsidR="00000000">
        <w:t>. La simmetria delle capacità tra Stati membri e l’imminenza dell’applicazione</w:t>
      </w:r>
    </w:p>
    <w:p w14:paraId="0C6FD6DF" w14:textId="77777777" w:rsidR="00DB6241" w:rsidRDefault="00000000" w:rsidP="009C1204">
      <w:pPr>
        <w:spacing w:after="160" w:line="300" w:lineRule="auto"/>
        <w:jc w:val="both"/>
      </w:pPr>
      <w:r>
        <w:t xml:space="preserve">Un ultimo ordine di considerazioni, di carattere trasversale, discende direttamente dalla natura relazionale del sistema. Un modello fondato sulla cooperazione diretta e sulla fiducia reciproca è, per definizione, tanto solido quanto lo è il suo anello più debole. La disomogeneità delle capacità operative tra gli Stati membri — in termini di organizzazione degli uffici, di dotazioni tecniche, di risorse dedicate — non è un problema che ciascun ordinamento affronta isolatamente: essa si ripercuote sull’intero circuito, poiché la debolezza di un nodo incrina la fiducia complessiva e sollecita, negli altri, atteggiamenti di maggiore cautela. </w:t>
      </w:r>
    </w:p>
    <w:p w14:paraId="72571D23" w14:textId="107FA87F" w:rsidR="00A80535" w:rsidRDefault="00000000" w:rsidP="009C1204">
      <w:pPr>
        <w:spacing w:after="160" w:line="300" w:lineRule="auto"/>
        <w:jc w:val="both"/>
      </w:pPr>
      <w:r>
        <w:t>L’Italia ha dunque un interesse duplice e convergente: assicurare la propria piena affidabilità e, al tempo stesso, contribuire — nelle sedi europee competenti — all’innalzamento uniforme degli standard, condizione perché la fiducia reciproca resti un fondamento reale e non una finzione.</w:t>
      </w:r>
    </w:p>
    <w:p w14:paraId="54EA375D" w14:textId="77777777" w:rsidR="009C1204" w:rsidRDefault="00000000" w:rsidP="009C1204">
      <w:pPr>
        <w:spacing w:after="160" w:line="300" w:lineRule="auto"/>
        <w:jc w:val="both"/>
      </w:pPr>
      <w:r>
        <w:t xml:space="preserve">A rendere il profilo più stringente concorre la dimensione temporale. Il regolamento è destinato a trovare applicazione a partire dall’estate del 2026, con i connessi obblighi di </w:t>
      </w:r>
      <w:r>
        <w:lastRenderedPageBreak/>
        <w:t xml:space="preserve">trasmissione periodica dei dati verso la Commissione. La ristrettezza dell’orizzonte impone che l’adeguamento non resti confinato al piano normativo, ma si traduca tempestivamente in capacità operativa effettiva. </w:t>
      </w:r>
    </w:p>
    <w:p w14:paraId="7BFD1732" w14:textId="77777777" w:rsidR="008A57F2" w:rsidRDefault="008A57F2" w:rsidP="009C1204">
      <w:pPr>
        <w:spacing w:after="160" w:line="300" w:lineRule="auto"/>
        <w:jc w:val="both"/>
      </w:pPr>
    </w:p>
    <w:p w14:paraId="6051CE6D" w14:textId="7EDF5FB0" w:rsidR="00A80535" w:rsidRDefault="00000000">
      <w:pPr>
        <w:pStyle w:val="Titolo1"/>
        <w:keepNext/>
      </w:pPr>
      <w:r>
        <w:t>1</w:t>
      </w:r>
      <w:r w:rsidR="00D035BA">
        <w:t>0</w:t>
      </w:r>
      <w:r>
        <w:t>. Considerazioni conclusive</w:t>
      </w:r>
    </w:p>
    <w:p w14:paraId="7164EED4" w14:textId="77777777" w:rsidR="009307AE" w:rsidRDefault="00000000" w:rsidP="009307AE">
      <w:pPr>
        <w:spacing w:after="160" w:line="300" w:lineRule="auto"/>
        <w:jc w:val="both"/>
      </w:pPr>
      <w:r>
        <w:t xml:space="preserve">Alla luce di quanto precede, il provvedimento in esame appare necessario e coerente con l’esigenza di completare l’adeguamento dell’ordinamento nazionale a un quadro europeo destinato a operare a breve. </w:t>
      </w:r>
    </w:p>
    <w:p w14:paraId="3D691672" w14:textId="5A66EB75" w:rsidR="00A80535" w:rsidRDefault="00282D9F" w:rsidP="009307AE">
      <w:pPr>
        <w:spacing w:after="160" w:line="300" w:lineRule="auto"/>
        <w:jc w:val="both"/>
      </w:pPr>
      <w:r>
        <w:t>I temi che ho ritenuto di segnalare non attengono alla bontà delle scelte tecniche interne — rimesse al legislatore delegato e alla giurisdizione — bensì alla proiezione esterna del sistema: il raccordo con la cooperazione verso gli Stati terzi, l’allineamento infrastrutturale con gli altri Stati membri, la riconoscibilità delle garanzie apprestate all’interessato e la capacità di esercitare tempestivamente, nella fase passiva, le prerogative poste a tutela di diritti fondamentali.</w:t>
      </w:r>
    </w:p>
    <w:p w14:paraId="038EEE02" w14:textId="2966426D" w:rsidR="00A80535" w:rsidRDefault="00000000" w:rsidP="009307AE">
      <w:pPr>
        <w:spacing w:after="160" w:line="300" w:lineRule="auto"/>
        <w:jc w:val="both"/>
      </w:pPr>
      <w:r>
        <w:t xml:space="preserve">Il filo che lega tra loro tali rilievi è unitario. Il modello </w:t>
      </w:r>
      <w:r w:rsidRPr="008A57F2">
        <w:rPr>
          <w:i/>
          <w:iCs/>
        </w:rPr>
        <w:t>e-</w:t>
      </w:r>
      <w:proofErr w:type="spellStart"/>
      <w:r w:rsidRPr="008A57F2">
        <w:rPr>
          <w:i/>
          <w:iCs/>
        </w:rPr>
        <w:t>evidence</w:t>
      </w:r>
      <w:proofErr w:type="spellEnd"/>
      <w:r>
        <w:t xml:space="preserve"> </w:t>
      </w:r>
      <w:r w:rsidR="00282D9F">
        <w:t>riduce</w:t>
      </w:r>
      <w:r>
        <w:t xml:space="preserve"> i filtri intermedi della cooperazione tradizionale </w:t>
      </w:r>
      <w:r w:rsidR="00282D9F">
        <w:t>per</w:t>
      </w:r>
      <w:r>
        <w:t xml:space="preserve"> la rapidità della cooperazione diretta, e paga questo scambio con una più intensa dipendenza dalla fiducia reciproca. Ne consegue che ogni segmento oggi disciplinato non vive isolatamente, ma come tassello della credibilità complessiva dell’ordinamento. La solidità del sistema si misura, in ultima analisi, sulla capacità di ciascun ordinamento di essere, insieme, emittente affidabile ed esecutore tempestivo, senza smarrire i propri presidi di sovranità e di garanzia.</w:t>
      </w:r>
    </w:p>
    <w:p w14:paraId="67E01ACA" w14:textId="77777777" w:rsidR="009307AE" w:rsidRDefault="00000000" w:rsidP="009307AE">
      <w:pPr>
        <w:spacing w:after="160" w:line="300" w:lineRule="auto"/>
        <w:jc w:val="both"/>
      </w:pPr>
      <w:r w:rsidRPr="00D035BA">
        <w:rPr>
          <w:b/>
          <w:bCs/>
        </w:rPr>
        <w:t>In definitiva, l’Atto del Governo n. 411 non va letto come un intervento isolato, ma come parte di una più ampia strategia di adeguamento dello Stato alla trasformazione digitale dell’accertamento penale</w:t>
      </w:r>
      <w:r>
        <w:t xml:space="preserve">. </w:t>
      </w:r>
    </w:p>
    <w:p w14:paraId="4AEA0D93" w14:textId="77777777" w:rsidR="009307AE" w:rsidRDefault="00000000" w:rsidP="009307AE">
      <w:pPr>
        <w:spacing w:after="160" w:line="300" w:lineRule="auto"/>
        <w:jc w:val="both"/>
      </w:pPr>
      <w:r>
        <w:t xml:space="preserve">Nel contrasto alle organizzazioni criminali transnazionali, il futuro della cooperazione non sarà soltanto nella capacità di seguire il denaro, ma anche nella capacità di seguire il dato, conservarlo tempestivamente, acquisirlo legalmente, comprenderlo tecnicamente e renderlo utilizzabile in un procedimento rispettoso dei diritti fondamentali. </w:t>
      </w:r>
    </w:p>
    <w:p w14:paraId="4AE0C7E6" w14:textId="77777777" w:rsidR="00A80535" w:rsidRDefault="00000000" w:rsidP="009307AE">
      <w:pPr>
        <w:spacing w:after="300" w:line="300" w:lineRule="auto"/>
        <w:jc w:val="both"/>
      </w:pPr>
      <w:r>
        <w:t>Ringrazio la Commissione per l’attenzione e resto a disposizione per ogni ulteriore approfondimento che si ritenga utile.</w:t>
      </w:r>
    </w:p>
    <w:p w14:paraId="573DD08D" w14:textId="482FB35F" w:rsidR="008A57F2" w:rsidRDefault="00F13C94" w:rsidP="009307AE">
      <w:pPr>
        <w:spacing w:after="300" w:line="300" w:lineRule="auto"/>
        <w:jc w:val="both"/>
      </w:pPr>
      <w:r>
        <w:t>Roma 8 luglio 2026</w:t>
      </w:r>
    </w:p>
    <w:p w14:paraId="2C619175" w14:textId="77777777" w:rsidR="00A80535" w:rsidRPr="00F13C94" w:rsidRDefault="00000000">
      <w:pPr>
        <w:spacing w:before="260" w:line="300" w:lineRule="auto"/>
        <w:jc w:val="right"/>
        <w:rPr>
          <w:rFonts w:ascii="Kunstler Script" w:hAnsi="Kunstler Script" w:cs="MV Boli"/>
          <w:color w:val="4472C4" w:themeColor="accent1"/>
          <w:sz w:val="32"/>
          <w:szCs w:val="32"/>
        </w:rPr>
      </w:pPr>
      <w:r w:rsidRPr="00F13C94">
        <w:rPr>
          <w:rFonts w:ascii="Kunstler Script" w:hAnsi="Kunstler Script" w:cs="MV Boli"/>
          <w:i/>
          <w:iCs/>
          <w:color w:val="4472C4" w:themeColor="accent1"/>
          <w:sz w:val="32"/>
          <w:szCs w:val="32"/>
        </w:rPr>
        <w:t>Giovanni Tartaglia Polcini</w:t>
      </w:r>
    </w:p>
    <w:sectPr w:rsidR="00A80535" w:rsidRPr="00F13C94">
      <w:headerReference w:type="default" r:id="rId8"/>
      <w:footerReference w:type="default" r:id="rId9"/>
      <w:pgSz w:w="11906" w:h="16838"/>
      <w:pgMar w:top="1418" w:right="1701"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1D87" w14:textId="77777777" w:rsidR="00695A7B" w:rsidRDefault="00695A7B">
      <w:r>
        <w:separator/>
      </w:r>
    </w:p>
  </w:endnote>
  <w:endnote w:type="continuationSeparator" w:id="0">
    <w:p w14:paraId="3CB248CF" w14:textId="77777777" w:rsidR="00695A7B" w:rsidRDefault="0069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470389"/>
      <w:docPartObj>
        <w:docPartGallery w:val="Page Numbers (Bottom of Page)"/>
        <w:docPartUnique/>
      </w:docPartObj>
    </w:sdtPr>
    <w:sdtContent>
      <w:p w14:paraId="32C17F19" w14:textId="191947F8" w:rsidR="00615903" w:rsidRDefault="00615903">
        <w:pPr>
          <w:pStyle w:val="Pidipagina"/>
          <w:jc w:val="right"/>
        </w:pPr>
        <w:r>
          <w:fldChar w:fldCharType="begin"/>
        </w:r>
        <w:r>
          <w:instrText>PAGE   \* MERGEFORMAT</w:instrText>
        </w:r>
        <w:r>
          <w:fldChar w:fldCharType="separate"/>
        </w:r>
        <w:r>
          <w:t>2</w:t>
        </w:r>
        <w:r>
          <w:fldChar w:fldCharType="end"/>
        </w:r>
      </w:p>
    </w:sdtContent>
  </w:sdt>
  <w:p w14:paraId="4945947C" w14:textId="3F3D6E69" w:rsidR="00A80535" w:rsidRDefault="00A8053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01D28" w14:textId="77777777" w:rsidR="00695A7B" w:rsidRDefault="00695A7B">
      <w:r>
        <w:separator/>
      </w:r>
    </w:p>
  </w:footnote>
  <w:footnote w:type="continuationSeparator" w:id="0">
    <w:p w14:paraId="7C3DE6C9" w14:textId="77777777" w:rsidR="00695A7B" w:rsidRDefault="0069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C8A5" w14:textId="77777777" w:rsidR="00A80535" w:rsidRDefault="00000000">
    <w:pPr>
      <w:pBdr>
        <w:bottom w:val="single" w:sz="4" w:space="4" w:color="BBBBBB"/>
      </w:pBdr>
      <w:jc w:val="center"/>
    </w:pPr>
    <w:r>
      <w:rPr>
        <w:i/>
        <w:iCs/>
        <w:color w:val="666666"/>
        <w:sz w:val="16"/>
        <w:szCs w:val="16"/>
      </w:rPr>
      <w:t>Atto del Governo n. 411 — Contributo scritto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90E5B"/>
    <w:multiLevelType w:val="hybridMultilevel"/>
    <w:tmpl w:val="C088A398"/>
    <w:lvl w:ilvl="0" w:tplc="75D25946">
      <w:start w:val="1"/>
      <w:numFmt w:val="bullet"/>
      <w:lvlText w:val="●"/>
      <w:lvlJc w:val="left"/>
      <w:pPr>
        <w:ind w:left="720" w:hanging="360"/>
      </w:pPr>
    </w:lvl>
    <w:lvl w:ilvl="1" w:tplc="4F90A9D4">
      <w:start w:val="1"/>
      <w:numFmt w:val="bullet"/>
      <w:lvlText w:val="○"/>
      <w:lvlJc w:val="left"/>
      <w:pPr>
        <w:ind w:left="1440" w:hanging="360"/>
      </w:pPr>
    </w:lvl>
    <w:lvl w:ilvl="2" w:tplc="DBF49C38">
      <w:start w:val="1"/>
      <w:numFmt w:val="bullet"/>
      <w:lvlText w:val="■"/>
      <w:lvlJc w:val="left"/>
      <w:pPr>
        <w:ind w:left="2160" w:hanging="360"/>
      </w:pPr>
    </w:lvl>
    <w:lvl w:ilvl="3" w:tplc="81F2B2BA">
      <w:start w:val="1"/>
      <w:numFmt w:val="bullet"/>
      <w:lvlText w:val="●"/>
      <w:lvlJc w:val="left"/>
      <w:pPr>
        <w:ind w:left="2880" w:hanging="360"/>
      </w:pPr>
    </w:lvl>
    <w:lvl w:ilvl="4" w:tplc="3BE87B56">
      <w:start w:val="1"/>
      <w:numFmt w:val="bullet"/>
      <w:lvlText w:val="○"/>
      <w:lvlJc w:val="left"/>
      <w:pPr>
        <w:ind w:left="3600" w:hanging="360"/>
      </w:pPr>
    </w:lvl>
    <w:lvl w:ilvl="5" w:tplc="3628F3A4">
      <w:start w:val="1"/>
      <w:numFmt w:val="bullet"/>
      <w:lvlText w:val="■"/>
      <w:lvlJc w:val="left"/>
      <w:pPr>
        <w:ind w:left="4320" w:hanging="360"/>
      </w:pPr>
    </w:lvl>
    <w:lvl w:ilvl="6" w:tplc="5FB4F5FE">
      <w:start w:val="1"/>
      <w:numFmt w:val="bullet"/>
      <w:lvlText w:val="●"/>
      <w:lvlJc w:val="left"/>
      <w:pPr>
        <w:ind w:left="5040" w:hanging="360"/>
      </w:pPr>
    </w:lvl>
    <w:lvl w:ilvl="7" w:tplc="9FC00D80">
      <w:start w:val="1"/>
      <w:numFmt w:val="bullet"/>
      <w:lvlText w:val="●"/>
      <w:lvlJc w:val="left"/>
      <w:pPr>
        <w:ind w:left="5760" w:hanging="360"/>
      </w:pPr>
    </w:lvl>
    <w:lvl w:ilvl="8" w:tplc="6B0C3028">
      <w:start w:val="1"/>
      <w:numFmt w:val="bullet"/>
      <w:lvlText w:val="●"/>
      <w:lvlJc w:val="left"/>
      <w:pPr>
        <w:ind w:left="6480" w:hanging="360"/>
      </w:pPr>
    </w:lvl>
  </w:abstractNum>
  <w:num w:numId="1" w16cid:durableId="3321436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35"/>
    <w:rsid w:val="0002103E"/>
    <w:rsid w:val="001419A4"/>
    <w:rsid w:val="00282D9F"/>
    <w:rsid w:val="003F7882"/>
    <w:rsid w:val="005456FF"/>
    <w:rsid w:val="005B5105"/>
    <w:rsid w:val="005D589A"/>
    <w:rsid w:val="00615903"/>
    <w:rsid w:val="00640925"/>
    <w:rsid w:val="00695A7B"/>
    <w:rsid w:val="007E5E66"/>
    <w:rsid w:val="008A57F2"/>
    <w:rsid w:val="008D1820"/>
    <w:rsid w:val="00917B84"/>
    <w:rsid w:val="009307AE"/>
    <w:rsid w:val="009C1204"/>
    <w:rsid w:val="00A80535"/>
    <w:rsid w:val="00A865C1"/>
    <w:rsid w:val="00AE676B"/>
    <w:rsid w:val="00AF319F"/>
    <w:rsid w:val="00B36B41"/>
    <w:rsid w:val="00B719F6"/>
    <w:rsid w:val="00D035BA"/>
    <w:rsid w:val="00D14101"/>
    <w:rsid w:val="00DB6241"/>
    <w:rsid w:val="00EC7DF8"/>
    <w:rsid w:val="00F13C94"/>
    <w:rsid w:val="00F850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4AE2"/>
  <w15:docId w15:val="{3AB7C19C-1AE9-844A-AE41-E1CEE876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60" w:after="140"/>
      <w:outlineLvl w:val="0"/>
    </w:pPr>
    <w:rPr>
      <w:b/>
      <w:bCs/>
      <w:sz w:val="26"/>
      <w:szCs w:val="26"/>
    </w:rPr>
  </w:style>
  <w:style w:type="paragraph" w:styleId="Titolo2">
    <w:name w:val="heading 2"/>
    <w:uiPriority w:val="9"/>
    <w:semiHidden/>
    <w:unhideWhenUsed/>
    <w:qFormat/>
    <w:pPr>
      <w:spacing w:before="200" w:after="120"/>
      <w:outlineLvl w:val="1"/>
    </w:pPr>
    <w:rPr>
      <w:b/>
      <w:bCs/>
    </w:rPr>
  </w:style>
  <w:style w:type="paragraph" w:styleId="Titolo3">
    <w:name w:val="heading 3"/>
    <w:uiPriority w:val="9"/>
    <w:semiHidden/>
    <w:unhideWhenUsed/>
    <w:qFormat/>
    <w:pPr>
      <w:outlineLvl w:val="2"/>
    </w:pPr>
    <w:rPr>
      <w:color w:val="1F4D78"/>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615903"/>
    <w:pPr>
      <w:tabs>
        <w:tab w:val="center" w:pos="4819"/>
        <w:tab w:val="right" w:pos="9638"/>
      </w:tabs>
    </w:pPr>
  </w:style>
  <w:style w:type="character" w:customStyle="1" w:styleId="IntestazioneCarattere">
    <w:name w:val="Intestazione Carattere"/>
    <w:basedOn w:val="Carpredefinitoparagrafo"/>
    <w:link w:val="Intestazione"/>
    <w:uiPriority w:val="99"/>
    <w:rsid w:val="00615903"/>
  </w:style>
  <w:style w:type="paragraph" w:styleId="Pidipagina">
    <w:name w:val="footer"/>
    <w:basedOn w:val="Normale"/>
    <w:link w:val="PidipaginaCarattere"/>
    <w:uiPriority w:val="99"/>
    <w:unhideWhenUsed/>
    <w:rsid w:val="00615903"/>
    <w:pPr>
      <w:tabs>
        <w:tab w:val="center" w:pos="4819"/>
        <w:tab w:val="right" w:pos="9638"/>
      </w:tabs>
    </w:pPr>
  </w:style>
  <w:style w:type="character" w:customStyle="1" w:styleId="PidipaginaCarattere">
    <w:name w:val="Piè di pagina Carattere"/>
    <w:basedOn w:val="Carpredefinitoparagrafo"/>
    <w:link w:val="Pidipagina"/>
    <w:uiPriority w:val="99"/>
    <w:rsid w:val="00615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5E370-D8D6-448B-B606-00159638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4931</Words>
  <Characters>28113</Characters>
  <Application>Microsoft Office Word</Application>
  <DocSecurity>0</DocSecurity>
  <Lines>234</Lines>
  <Paragraphs>65</Paragraphs>
  <ScaleCrop>false</ScaleCrop>
  <HeadingPairs>
    <vt:vector size="2" baseType="variant">
      <vt:variant>
        <vt:lpstr>Titolo</vt:lpstr>
      </vt:variant>
      <vt:variant>
        <vt:i4>1</vt:i4>
      </vt:variant>
    </vt:vector>
  </HeadingPairs>
  <TitlesOfParts>
    <vt:vector size="1" baseType="lpstr">
      <vt:lpstr>Contributo scritto — Atto del Governo n. 411</vt:lpstr>
    </vt:vector>
  </TitlesOfParts>
  <Company/>
  <LinksUpToDate>false</LinksUpToDate>
  <CharactersWithSpaces>32979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Contributo scritto — Atto del Governo n. 411</dc:title>
  <dc:creator>Giovanni Tartaglia Polcini</dc:creator>
  <dc:description>Audizione Commissione Giustizia Camera dei Deputati</dc:description>
  <cp:lastModifiedBy>Giovanni Tartaglia Polcini</cp:lastModifiedBy>
  <cp:revision>2</cp:revision>
  <dcterms:created xsi:type="dcterms:W3CDTF">2026-07-08T17:38:00Z</dcterms:created>
  <dcterms:modified xsi:type="dcterms:W3CDTF">2026-07-08T17:38:00Z</dcterms:modified>
</cp:coreProperties>
</file>