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01" w:rsidRDefault="00E41901" w:rsidP="00881BDB">
      <w:pPr>
        <w:rPr>
          <w:rFonts w:ascii="Times New Roman" w:hAnsi="Times New Roman" w:cs="Times New Roman"/>
          <w:sz w:val="72"/>
          <w:szCs w:val="72"/>
        </w:rPr>
      </w:pPr>
      <w:r w:rsidRPr="00881BDB">
        <w:rPr>
          <w:rFonts w:ascii="Times New Roman" w:hAnsi="Times New Roman" w:cs="Times New Roman"/>
          <w:sz w:val="72"/>
          <w:szCs w:val="72"/>
        </w:rPr>
        <w:t>INTERVENTI DI NATURA NORMATIVA</w:t>
      </w:r>
    </w:p>
    <w:p w:rsidR="00881BDB" w:rsidRPr="00881BDB" w:rsidRDefault="00881BDB" w:rsidP="00881BDB">
      <w:pPr>
        <w:pStyle w:val="Paragrafoelenco"/>
        <w:ind w:left="1080"/>
        <w:rPr>
          <w:rFonts w:ascii="Times New Roman" w:hAnsi="Times New Roman" w:cs="Times New Roman"/>
        </w:rPr>
      </w:pP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COMPUTO DEL SERVIZIO ANTERIORMENTE PRESTATO</w:t>
      </w: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RECUPERO GIORNATE SUPERFESTIVE IN OFCN.</w:t>
      </w: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LICENZA STRAORDINARIA SPECIALE DI TRASFERIMENTO</w:t>
      </w: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 xml:space="preserve">ALLOGGI ASC </w:t>
      </w: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REGISTRO RECLAMI MENSA</w:t>
      </w:r>
    </w:p>
    <w:p w:rsidR="00E41901" w:rsidRPr="00881BDB" w:rsidRDefault="00E41901" w:rsidP="00E419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TRATTAMENTO ALIMENTARE GRATUITO</w:t>
      </w:r>
    </w:p>
    <w:p w:rsidR="00893C09" w:rsidRPr="00881BDB" w:rsidRDefault="00E41901" w:rsidP="00893C0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ORE LAVORATIVE SVOLTE PRECEDENTEMENTE A MALATTIA SOPRAVVENUTA</w:t>
      </w:r>
    </w:p>
    <w:p w:rsidR="00256045" w:rsidRPr="00881BDB" w:rsidRDefault="00256045" w:rsidP="0025604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MODIFICA ALLE DISPOSIZIONI SUL RICONGIUNGIMENTO FAMILIARE E L'ASSEGNAZIONE TEMPORANEA PER I MILITARI A FERMA PREFISSATA QUADRIENNALE - VFP4</w:t>
      </w:r>
    </w:p>
    <w:p w:rsidR="00256045" w:rsidRDefault="00C558D1" w:rsidP="00C558D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  <w:sz w:val="40"/>
          <w:szCs w:val="40"/>
        </w:rPr>
        <w:t>MODIFICHE ALLA DISCIPLINA SUI TRASFERIMENTI PER ESIGENZE FAMILIARI DEL PERSONALE MILITARE</w:t>
      </w:r>
    </w:p>
    <w:p w:rsidR="005D30EC" w:rsidRDefault="005D30EC" w:rsidP="00BD6C4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MODIFICHE ART. 2251 QUARTER</w:t>
      </w:r>
      <w:r w:rsidR="00BD6C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BD6C40">
        <w:rPr>
          <w:rFonts w:ascii="Times New Roman" w:hAnsi="Times New Roman" w:cs="Times New Roman"/>
          <w:b/>
          <w:bCs/>
          <w:sz w:val="40"/>
          <w:szCs w:val="40"/>
        </w:rPr>
        <w:t>D.lgs</w:t>
      </w:r>
      <w:proofErr w:type="spellEnd"/>
      <w:r w:rsidR="00BD6C40" w:rsidRPr="00BD6C40">
        <w:rPr>
          <w:rFonts w:ascii="Times New Roman" w:hAnsi="Times New Roman" w:cs="Times New Roman"/>
          <w:b/>
          <w:bCs/>
          <w:sz w:val="40"/>
          <w:szCs w:val="40"/>
        </w:rPr>
        <w:t xml:space="preserve"> 15 marzo 2010, n. 66</w:t>
      </w:r>
    </w:p>
    <w:p w:rsidR="005D30EC" w:rsidRDefault="005D30EC" w:rsidP="00BD6C4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MODIFICHE ART. 933 </w:t>
      </w:r>
      <w:proofErr w:type="spellStart"/>
      <w:r w:rsidR="00BD6C40" w:rsidRPr="00BD6C40">
        <w:rPr>
          <w:rFonts w:ascii="Times New Roman" w:hAnsi="Times New Roman" w:cs="Times New Roman"/>
          <w:b/>
          <w:bCs/>
          <w:sz w:val="40"/>
          <w:szCs w:val="40"/>
        </w:rPr>
        <w:t>D.lgs</w:t>
      </w:r>
      <w:proofErr w:type="spellEnd"/>
      <w:r w:rsidR="00BD6C40" w:rsidRPr="00BD6C40">
        <w:rPr>
          <w:rFonts w:ascii="Times New Roman" w:hAnsi="Times New Roman" w:cs="Times New Roman"/>
          <w:b/>
          <w:bCs/>
          <w:sz w:val="40"/>
          <w:szCs w:val="40"/>
        </w:rPr>
        <w:t xml:space="preserve"> 15 marzo 2010, n. 66</w:t>
      </w:r>
    </w:p>
    <w:p w:rsidR="00BD6C40" w:rsidRDefault="00BD6C40" w:rsidP="00BD6C4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MODIFICHE ART. 1908 </w:t>
      </w:r>
      <w:proofErr w:type="spellStart"/>
      <w:r w:rsidRPr="00BD6C40">
        <w:rPr>
          <w:rFonts w:ascii="Times New Roman" w:hAnsi="Times New Roman" w:cs="Times New Roman"/>
          <w:b/>
          <w:bCs/>
          <w:sz w:val="40"/>
          <w:szCs w:val="40"/>
        </w:rPr>
        <w:t>D.lgs</w:t>
      </w:r>
      <w:proofErr w:type="spellEnd"/>
      <w:r w:rsidRPr="00BD6C40">
        <w:rPr>
          <w:rFonts w:ascii="Times New Roman" w:hAnsi="Times New Roman" w:cs="Times New Roman"/>
          <w:b/>
          <w:bCs/>
          <w:sz w:val="40"/>
          <w:szCs w:val="40"/>
        </w:rPr>
        <w:t xml:space="preserve"> 15 marzo 2010, n. 66</w:t>
      </w:r>
    </w:p>
    <w:p w:rsidR="005D30EC" w:rsidRPr="005D30EC" w:rsidRDefault="005D30EC" w:rsidP="005D30E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558D1" w:rsidRPr="005D30EC" w:rsidRDefault="00C558D1" w:rsidP="005D30E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41901" w:rsidRDefault="00E41901" w:rsidP="00E41901">
      <w:pPr>
        <w:rPr>
          <w:rFonts w:ascii="Times New Roman" w:hAnsi="Times New Roman" w:cs="Times New Roman"/>
          <w:sz w:val="40"/>
          <w:szCs w:val="40"/>
        </w:rPr>
      </w:pPr>
    </w:p>
    <w:p w:rsidR="005D30EC" w:rsidRPr="00881BDB" w:rsidRDefault="005D30EC" w:rsidP="00E41901">
      <w:pPr>
        <w:rPr>
          <w:rFonts w:ascii="Times New Roman" w:hAnsi="Times New Roman" w:cs="Times New Roman"/>
          <w:sz w:val="40"/>
          <w:szCs w:val="40"/>
        </w:rPr>
      </w:pPr>
    </w:p>
    <w:p w:rsidR="007174A1" w:rsidRPr="00881BDB" w:rsidRDefault="00A11FEF" w:rsidP="00881BDB">
      <w:pPr>
        <w:jc w:val="both"/>
        <w:rPr>
          <w:rFonts w:ascii="Times New Roman" w:hAnsi="Times New Roman" w:cs="Times New Roman"/>
          <w:sz w:val="40"/>
          <w:szCs w:val="40"/>
        </w:rPr>
      </w:pPr>
      <w:r w:rsidRPr="00881BDB">
        <w:rPr>
          <w:rFonts w:ascii="Times New Roman" w:hAnsi="Times New Roman" w:cs="Times New Roman"/>
          <w:b/>
          <w:bCs/>
        </w:rPr>
        <w:t>COMPUTO DEL SERVIZIO ANTERIORMENTE PRESTATO</w:t>
      </w:r>
      <w:r w:rsidR="007174A1" w:rsidRPr="00881BDB">
        <w:rPr>
          <w:rFonts w:ascii="Times New Roman" w:hAnsi="Times New Roman" w:cs="Times New Roman"/>
        </w:rPr>
        <w:t>.</w:t>
      </w:r>
    </w:p>
    <w:p w:rsidR="00AD1ED3" w:rsidRDefault="00AD1ED3">
      <w:pPr>
        <w:rPr>
          <w:rFonts w:ascii="Times New Roman" w:hAnsi="Times New Roman" w:cs="Times New Roman"/>
        </w:rPr>
      </w:pPr>
    </w:p>
    <w:p w:rsidR="004107B5" w:rsidRDefault="004107B5" w:rsidP="004107B5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42F42" w:rsidTr="00542F42">
        <w:tc>
          <w:tcPr>
            <w:tcW w:w="4759" w:type="dxa"/>
          </w:tcPr>
          <w:p w:rsidR="00542F42" w:rsidRDefault="00542F42" w:rsidP="004107B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542F42" w:rsidRDefault="00987DDA" w:rsidP="004107B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542F42" w:rsidRDefault="00987DDA" w:rsidP="004107B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4107B5" w:rsidRDefault="004107B5" w:rsidP="004107B5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70639" w:rsidTr="00970639">
        <w:tc>
          <w:tcPr>
            <w:tcW w:w="4759" w:type="dxa"/>
          </w:tcPr>
          <w:p w:rsidR="00970639" w:rsidRPr="004107B5" w:rsidRDefault="00970639" w:rsidP="009706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Pr="004107B5">
              <w:rPr>
                <w:rFonts w:ascii="Times New Roman" w:hAnsi="Times New Roman" w:cs="Times New Roman"/>
                <w:b/>
                <w:bCs/>
              </w:rPr>
              <w:t>Art. 1783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4107B5">
              <w:rPr>
                <w:rFonts w:ascii="Titillium Web" w:eastAsia="Times New Roman" w:hAnsi="Titillium Web" w:cs="Times New Roman"/>
                <w:color w:val="19191A"/>
                <w:kern w:val="0"/>
                <w:sz w:val="30"/>
                <w:szCs w:val="30"/>
                <w:lang w:eastAsia="it-IT"/>
                <w14:ligatures w14:val="none"/>
              </w:rPr>
              <w:t xml:space="preserve"> </w:t>
            </w:r>
            <w:r w:rsidRPr="004107B5">
              <w:rPr>
                <w:rFonts w:ascii="Times New Roman" w:hAnsi="Times New Roman" w:cs="Times New Roman"/>
                <w:b/>
                <w:bCs/>
              </w:rPr>
              <w:t>DECRETO LEGISLATIVO 15 marzo 2010, n. 66</w:t>
            </w:r>
          </w:p>
          <w:p w:rsidR="00970639" w:rsidRPr="004107B5" w:rsidRDefault="00970639" w:rsidP="0097063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70639" w:rsidRPr="004107B5" w:rsidRDefault="00970639" w:rsidP="00970639">
            <w:pPr>
              <w:rPr>
                <w:rFonts w:ascii="Times New Roman" w:hAnsi="Times New Roman" w:cs="Times New Roman"/>
                <w:i/>
                <w:iCs/>
              </w:rPr>
            </w:pPr>
            <w:r w:rsidRPr="004107B5">
              <w:rPr>
                <w:rFonts w:ascii="Times New Roman" w:hAnsi="Times New Roman" w:cs="Times New Roman"/>
                <w:i/>
                <w:iCs/>
              </w:rPr>
              <w:t>Computo del servizio anteriormente prestato</w:t>
            </w:r>
          </w:p>
          <w:p w:rsidR="00970639" w:rsidRPr="00970639" w:rsidRDefault="00970639" w:rsidP="00970639">
            <w:pPr>
              <w:rPr>
                <w:rFonts w:ascii="Times New Roman" w:hAnsi="Times New Roman" w:cs="Times New Roman"/>
                <w:i/>
                <w:iCs/>
              </w:rPr>
            </w:pPr>
            <w:r w:rsidRPr="004107B5">
              <w:rPr>
                <w:rFonts w:ascii="Times New Roman" w:hAnsi="Times New Roman" w:cs="Times New Roman"/>
                <w:b/>
                <w:bCs/>
                <w:i/>
                <w:iCs/>
              </w:rPr>
              <w:t>1. </w:t>
            </w:r>
            <w:r w:rsidRPr="004107B5">
              <w:rPr>
                <w:rFonts w:ascii="Times New Roman" w:hAnsi="Times New Roman" w:cs="Times New Roman"/>
                <w:i/>
                <w:iCs/>
              </w:rPr>
              <w:t>Il servizio militare prestato anteriormente alla nomina a ufficiale, sottufficiale e graduato in servizio permanente, è computato per intero, agli effetti della determinazione dello stipendio, in base all'anzianità di servizio; agli stessi effetti, sono computati gli anni corrispondenti alla durata legale del corso di studi universitari, in favore degli ufficiali per la nomina dei quali è richiesta una laurea o titolo equipollente se non coincidenti con il servizio militare</w:t>
            </w:r>
            <w:r w:rsidRPr="004107B5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</w:p>
          <w:p w:rsidR="00970639" w:rsidRDefault="00970639" w:rsidP="004107B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970639" w:rsidRPr="004107B5" w:rsidRDefault="00970639" w:rsidP="009706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Pr="004107B5">
              <w:rPr>
                <w:rFonts w:ascii="Times New Roman" w:hAnsi="Times New Roman" w:cs="Times New Roman"/>
                <w:b/>
                <w:bCs/>
              </w:rPr>
              <w:t>Art. 1783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4107B5">
              <w:rPr>
                <w:rFonts w:ascii="Titillium Web" w:eastAsia="Times New Roman" w:hAnsi="Titillium Web" w:cs="Times New Roman"/>
                <w:color w:val="19191A"/>
                <w:kern w:val="0"/>
                <w:sz w:val="30"/>
                <w:szCs w:val="30"/>
                <w:lang w:eastAsia="it-IT"/>
                <w14:ligatures w14:val="none"/>
              </w:rPr>
              <w:t xml:space="preserve"> </w:t>
            </w:r>
            <w:r w:rsidRPr="004107B5">
              <w:rPr>
                <w:rFonts w:ascii="Times New Roman" w:hAnsi="Times New Roman" w:cs="Times New Roman"/>
                <w:b/>
                <w:bCs/>
              </w:rPr>
              <w:t>DECRETO LEGISLATIVO 15 marzo 2010, n. 66</w:t>
            </w:r>
          </w:p>
          <w:p w:rsidR="00970639" w:rsidRPr="004107B5" w:rsidRDefault="00970639" w:rsidP="0097063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70639" w:rsidRPr="004107B5" w:rsidRDefault="00970639" w:rsidP="00970639">
            <w:pPr>
              <w:rPr>
                <w:rFonts w:ascii="Times New Roman" w:hAnsi="Times New Roman" w:cs="Times New Roman"/>
                <w:i/>
                <w:iCs/>
              </w:rPr>
            </w:pPr>
            <w:r w:rsidRPr="004107B5">
              <w:rPr>
                <w:rFonts w:ascii="Times New Roman" w:hAnsi="Times New Roman" w:cs="Times New Roman"/>
                <w:i/>
                <w:iCs/>
              </w:rPr>
              <w:t>Computo del servizio anteriormente prestato</w:t>
            </w:r>
          </w:p>
          <w:p w:rsidR="00970639" w:rsidRPr="00970639" w:rsidRDefault="00970639" w:rsidP="00970639">
            <w:pPr>
              <w:rPr>
                <w:rFonts w:ascii="Times New Roman" w:hAnsi="Times New Roman" w:cs="Times New Roman"/>
                <w:i/>
                <w:iCs/>
              </w:rPr>
            </w:pPr>
            <w:r w:rsidRPr="004107B5">
              <w:rPr>
                <w:rFonts w:ascii="Times New Roman" w:hAnsi="Times New Roman" w:cs="Times New Roman"/>
                <w:b/>
                <w:bCs/>
                <w:i/>
                <w:iCs/>
              </w:rPr>
              <w:t>1. </w:t>
            </w:r>
            <w:r w:rsidRPr="004107B5">
              <w:rPr>
                <w:rFonts w:ascii="Times New Roman" w:hAnsi="Times New Roman" w:cs="Times New Roman"/>
                <w:i/>
                <w:iCs/>
              </w:rPr>
              <w:t xml:space="preserve">Il servizio militare prestato anteriormente alla nomina a ufficiale, sottufficiale e graduato in servizio permanente, è computato per intero, agli effetti della determinazione dello stipendio, in base all'anzianità di servizio; agli stessi effetti, sono computati gli anni corrispondenti alla durata legale del corso di studi universitari, in favore </w:t>
            </w:r>
            <w:r w:rsidRPr="00542F42">
              <w:rPr>
                <w:rFonts w:ascii="Times New Roman" w:hAnsi="Times New Roman" w:cs="Times New Roman"/>
                <w:b/>
                <w:bCs/>
                <w:i/>
                <w:iCs/>
              </w:rPr>
              <w:t>dei militari</w:t>
            </w:r>
            <w:r w:rsidRPr="004107B5">
              <w:rPr>
                <w:rFonts w:ascii="Times New Roman" w:hAnsi="Times New Roman" w:cs="Times New Roman"/>
                <w:i/>
                <w:iCs/>
              </w:rPr>
              <w:t xml:space="preserve"> per la nomina dei quali è richiesta una laurea o titolo equipollente se non coincidenti con il servizio militare</w:t>
            </w:r>
            <w:r w:rsidRPr="00970639">
              <w:rPr>
                <w:rFonts w:ascii="Times New Roman" w:hAnsi="Times New Roman" w:cs="Times New Roman"/>
                <w:i/>
                <w:iCs/>
              </w:rPr>
              <w:t>”</w:t>
            </w:r>
          </w:p>
          <w:p w:rsidR="00970639" w:rsidRDefault="00970639" w:rsidP="004107B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970639" w:rsidRDefault="00EE7E7A" w:rsidP="00EE7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Visto il comma 5-bis dell’art. 682 del C.O.M. “Alimentazione dei ruoli dei marescialli” dove è sancita la facoltà per l’Amministrazione Difesa di reclutare Marescialli con requisito del titolo di studio della laurea;</w:t>
            </w:r>
          </w:p>
          <w:p w:rsidR="00EE7E7A" w:rsidRPr="00987DDA" w:rsidRDefault="00EE7E7A" w:rsidP="00EE7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Preso atto che l’A.D. ha già reclutato ed immesso in ruolo Marescialli “a nomina diretta” come ad esempio gli Infermieri</w:t>
            </w:r>
            <w:r w:rsidR="000E6593">
              <w:rPr>
                <w:rFonts w:ascii="Times New Roman" w:hAnsi="Times New Roman" w:cs="Times New Roman"/>
              </w:rPr>
              <w:t xml:space="preserve"> e per loro vige questa discriminazione si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6593">
              <w:rPr>
                <w:rFonts w:ascii="Times New Roman" w:hAnsi="Times New Roman" w:cs="Times New Roman"/>
              </w:rPr>
              <w:t xml:space="preserve">chiede di armonizzarne il </w:t>
            </w:r>
            <w:r w:rsidR="00522E10">
              <w:rPr>
                <w:rFonts w:ascii="Times New Roman" w:hAnsi="Times New Roman" w:cs="Times New Roman"/>
              </w:rPr>
              <w:t>trattamento sostituendo “</w:t>
            </w:r>
            <w:r w:rsidR="00522E10" w:rsidRPr="00522E10">
              <w:rPr>
                <w:rFonts w:ascii="Times New Roman" w:hAnsi="Times New Roman" w:cs="Times New Roman"/>
                <w:i/>
                <w:iCs/>
              </w:rPr>
              <w:t>degli  ufficiali</w:t>
            </w:r>
            <w:r w:rsidR="00522E10">
              <w:rPr>
                <w:rFonts w:ascii="Times New Roman" w:hAnsi="Times New Roman" w:cs="Times New Roman"/>
              </w:rPr>
              <w:t>” con “</w:t>
            </w:r>
            <w:r w:rsidR="00522E10" w:rsidRPr="00522E10">
              <w:rPr>
                <w:rFonts w:ascii="Times New Roman" w:hAnsi="Times New Roman" w:cs="Times New Roman"/>
                <w:i/>
                <w:iCs/>
              </w:rPr>
              <w:t>dei militari</w:t>
            </w:r>
            <w:r w:rsidR="00522E10">
              <w:rPr>
                <w:rFonts w:ascii="Times New Roman" w:hAnsi="Times New Roman" w:cs="Times New Roman"/>
              </w:rPr>
              <w:t>”.</w:t>
            </w:r>
          </w:p>
        </w:tc>
      </w:tr>
    </w:tbl>
    <w:p w:rsidR="007174A1" w:rsidRDefault="007174A1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984D5E" w:rsidRDefault="00984D5E">
      <w:pPr>
        <w:rPr>
          <w:rFonts w:ascii="Times New Roman" w:hAnsi="Times New Roman" w:cs="Times New Roman"/>
          <w:b/>
          <w:bCs/>
        </w:rPr>
      </w:pPr>
    </w:p>
    <w:p w:rsidR="00984D5E" w:rsidRDefault="00984D5E">
      <w:pPr>
        <w:rPr>
          <w:rFonts w:ascii="Times New Roman" w:hAnsi="Times New Roman" w:cs="Times New Roman"/>
          <w:b/>
          <w:bCs/>
        </w:rPr>
      </w:pPr>
    </w:p>
    <w:p w:rsidR="00984D5E" w:rsidRDefault="00984D5E">
      <w:pPr>
        <w:rPr>
          <w:rFonts w:ascii="Times New Roman" w:hAnsi="Times New Roman" w:cs="Times New Roman"/>
          <w:b/>
          <w:bCs/>
        </w:rPr>
      </w:pPr>
    </w:p>
    <w:p w:rsidR="007174A1" w:rsidRPr="005A7530" w:rsidRDefault="007174A1">
      <w:pPr>
        <w:rPr>
          <w:rFonts w:ascii="Times New Roman" w:hAnsi="Times New Roman" w:cs="Times New Roman"/>
          <w:b/>
          <w:bCs/>
        </w:rPr>
      </w:pPr>
      <w:r w:rsidRPr="005A7530">
        <w:rPr>
          <w:rFonts w:ascii="Times New Roman" w:hAnsi="Times New Roman" w:cs="Times New Roman"/>
          <w:b/>
          <w:bCs/>
        </w:rPr>
        <w:t>RECUPERO GIORNATE SUPERFESTIV</w:t>
      </w:r>
      <w:r w:rsidR="005A7530" w:rsidRPr="005A7530">
        <w:rPr>
          <w:rFonts w:ascii="Times New Roman" w:hAnsi="Times New Roman" w:cs="Times New Roman"/>
          <w:b/>
          <w:bCs/>
        </w:rPr>
        <w:t>E</w:t>
      </w:r>
      <w:r w:rsidRPr="005A7530">
        <w:rPr>
          <w:rFonts w:ascii="Times New Roman" w:hAnsi="Times New Roman" w:cs="Times New Roman"/>
          <w:b/>
          <w:bCs/>
        </w:rPr>
        <w:t xml:space="preserve"> IN OFCN.</w:t>
      </w:r>
    </w:p>
    <w:p w:rsidR="007174A1" w:rsidRPr="005A7530" w:rsidRDefault="007174A1">
      <w:pPr>
        <w:rPr>
          <w:rFonts w:ascii="Times New Roman" w:hAnsi="Times New Roman" w:cs="Times New Roman"/>
          <w:b/>
          <w:bCs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 w:rsidP="000E6593">
      <w:pPr>
        <w:rPr>
          <w:rFonts w:ascii="Times New Roman" w:hAnsi="Times New Roman" w:cs="Times New Roman"/>
        </w:rPr>
      </w:pPr>
    </w:p>
    <w:p w:rsidR="000E6593" w:rsidRDefault="000E6593" w:rsidP="000E659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0E6593" w:rsidRDefault="000E6593" w:rsidP="000E659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9808BF" w:rsidRPr="009808BF" w:rsidRDefault="009808BF" w:rsidP="00713D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08BF">
              <w:rPr>
                <w:rFonts w:ascii="Times New Roman" w:hAnsi="Times New Roman" w:cs="Times New Roman"/>
                <w:i/>
                <w:iCs/>
              </w:rPr>
              <w:t>Gli artt. 11 del D.P.R. 13 giugno 2002, n. 163 e 54 del D.P.R. 18 giugno 2002, n. 164 del</w:t>
            </w:r>
          </w:p>
          <w:p w:rsidR="000E6593" w:rsidRDefault="009808BF" w:rsidP="00713D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08BF">
              <w:rPr>
                <w:rFonts w:ascii="Times New Roman" w:hAnsi="Times New Roman" w:cs="Times New Roman"/>
                <w:i/>
                <w:iCs/>
              </w:rPr>
              <w:t>2002 hanno previsto per il personale impiegato nei contingenti all’estero che “I riposi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settimanali non fruiti per esigenze connesse all’impiego in missioni internazionali, sono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fruiti all’atto del rientro in territorio nazionale nella misura pari alla differenza tra il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beneficio spettante ed i recuperi e riposi accordati ai sensi della normativa di settore;</w:t>
            </w:r>
            <w:r w:rsidR="00713DF8"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i/>
                <w:iCs/>
              </w:rPr>
              <w:t>tale beneficio non è monetizzabile”.</w:t>
            </w:r>
          </w:p>
          <w:p w:rsidR="008441F9" w:rsidRDefault="008441F9" w:rsidP="00713D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13DF8" w:rsidRDefault="00713DF8" w:rsidP="00713DF8">
            <w:pPr>
              <w:jc w:val="both"/>
              <w:rPr>
                <w:rFonts w:ascii="Times New Roman" w:hAnsi="Times New Roman" w:cs="Times New Roman"/>
              </w:rPr>
            </w:pPr>
            <w:r w:rsidRPr="00713DF8">
              <w:rPr>
                <w:rFonts w:ascii="Times New Roman" w:hAnsi="Times New Roman" w:cs="Times New Roman"/>
              </w:rPr>
              <w:t xml:space="preserve">In ambito interforze (segnatamente con </w:t>
            </w:r>
            <w:proofErr w:type="spellStart"/>
            <w:r w:rsidRPr="00713DF8">
              <w:rPr>
                <w:rFonts w:ascii="Times New Roman" w:hAnsi="Times New Roman" w:cs="Times New Roman"/>
              </w:rPr>
              <w:t>f.n</w:t>
            </w:r>
            <w:proofErr w:type="spellEnd"/>
            <w:r w:rsidRPr="00713D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DF8">
              <w:rPr>
                <w:rFonts w:ascii="Times New Roman" w:hAnsi="Times New Roman" w:cs="Times New Roman"/>
              </w:rPr>
              <w:t>114/1/488/4910 in data 19 marzo 2003 di Stato Maggiore della Difesa), il termine “riposo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DF8">
              <w:rPr>
                <w:rFonts w:ascii="Times New Roman" w:hAnsi="Times New Roman" w:cs="Times New Roman"/>
              </w:rPr>
              <w:t>settimanale” è stato declinato con riferimento alle sole domeniche trascorse in teatro</w:t>
            </w:r>
          </w:p>
          <w:p w:rsidR="004A5281" w:rsidRDefault="004A5281" w:rsidP="00713DF8">
            <w:pPr>
              <w:jc w:val="both"/>
              <w:rPr>
                <w:rFonts w:ascii="Times New Roman" w:hAnsi="Times New Roman" w:cs="Times New Roman"/>
              </w:rPr>
            </w:pPr>
          </w:p>
          <w:p w:rsidR="004A5281" w:rsidRDefault="004A5281" w:rsidP="004A528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Disciplinato con lettera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M_D AB05933 REG202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0554385 in data </w:t>
            </w:r>
            <w:r>
              <w:rPr>
                <w:rFonts w:ascii="Times New Roman" w:hAnsi="Times New Roman" w:cs="Times New Roman"/>
                <w:i/>
                <w:iCs/>
              </w:rPr>
              <w:t>27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settembre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avente ad oggetto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Guida Tecnica in materia di licenze, permessi e riposi in godimento al personale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militare – var. 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</w:p>
          <w:p w:rsidR="00713DF8" w:rsidRPr="00713DF8" w:rsidRDefault="00713DF8" w:rsidP="00713D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</w:tcPr>
          <w:p w:rsidR="00713DF8" w:rsidRDefault="00713DF8" w:rsidP="00713D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I riposi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 xml:space="preserve">settimanali </w:t>
            </w:r>
            <w:r w:rsidR="00B712F5" w:rsidRPr="00B712F5">
              <w:rPr>
                <w:rFonts w:ascii="Times New Roman" w:hAnsi="Times New Roman" w:cs="Times New Roman"/>
                <w:b/>
                <w:bCs/>
                <w:i/>
                <w:iCs/>
              </w:rPr>
              <w:t>ed i giorni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superfestiv</w:t>
            </w:r>
            <w:r w:rsidR="00B712F5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>(Natale;</w:t>
            </w:r>
            <w:r w:rsid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26 dicembre;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Capodanno;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Pasqua;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Lunedi di Pasqua;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1° Maggio;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2 Giugno;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13DF8">
              <w:rPr>
                <w:rFonts w:ascii="Times New Roman" w:hAnsi="Times New Roman" w:cs="Times New Roman"/>
                <w:b/>
                <w:bCs/>
                <w:i/>
                <w:iCs/>
              </w:rPr>
              <w:t>Ferragosto.</w:t>
            </w:r>
            <w:r w:rsidRPr="00463797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4637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non fruiti per esigenze connesse all’impiego in missioni internazionali, sono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fruiti all’atto del rientro in territorio nazionale nella misura pari alla differenza tra il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808BF">
              <w:rPr>
                <w:rFonts w:ascii="Times New Roman" w:hAnsi="Times New Roman" w:cs="Times New Roman"/>
                <w:i/>
                <w:iCs/>
              </w:rPr>
              <w:t>beneficio spettante ed i recuperi e riposi accordati ai sensi della normativa di settore;</w:t>
            </w:r>
            <w:r w:rsidRPr="00713DF8">
              <w:rPr>
                <w:rFonts w:ascii="Times New Roman" w:hAnsi="Times New Roman" w:cs="Times New Roman"/>
                <w:i/>
                <w:iCs/>
              </w:rPr>
              <w:t xml:space="preserve"> tale beneficio non è monetizzabile”.</w:t>
            </w:r>
          </w:p>
          <w:p w:rsidR="000E6593" w:rsidRDefault="000E6593" w:rsidP="00522E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713DF8" w:rsidRDefault="00463797" w:rsidP="00463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Armonizzare il trattamento del personale militare impiegato in OFCN </w:t>
            </w:r>
            <w:r w:rsidR="005B06A0">
              <w:rPr>
                <w:rFonts w:ascii="Times New Roman" w:hAnsi="Times New Roman" w:cs="Times New Roman"/>
              </w:rPr>
              <w:t>con il restante personale impiegato nelle stesse giornate.</w:t>
            </w:r>
          </w:p>
          <w:p w:rsidR="00B712F5" w:rsidRPr="00987DDA" w:rsidRDefault="00795724" w:rsidP="00463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decorrere dal 01/01/2022.</w:t>
            </w:r>
          </w:p>
        </w:tc>
      </w:tr>
    </w:tbl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AA3A0B" w:rsidRDefault="00795724">
      <w:pPr>
        <w:rPr>
          <w:rFonts w:ascii="Times New Roman" w:hAnsi="Times New Roman" w:cs="Times New Roman"/>
        </w:rPr>
      </w:pPr>
      <w:r w:rsidRPr="00795724">
        <w:rPr>
          <w:rFonts w:ascii="Times New Roman" w:hAnsi="Times New Roman" w:cs="Times New Roman"/>
          <w:b/>
          <w:bCs/>
        </w:rPr>
        <w:t>LICENZA STRAORDINARIA SPECIALE DI TRASFERIMENTO</w:t>
      </w:r>
    </w:p>
    <w:p w:rsidR="000E6593" w:rsidRDefault="000E6593" w:rsidP="000E6593">
      <w:pPr>
        <w:rPr>
          <w:rFonts w:ascii="Times New Roman" w:hAnsi="Times New Roman" w:cs="Times New Roman"/>
        </w:rPr>
      </w:pPr>
    </w:p>
    <w:p w:rsidR="000E6593" w:rsidRDefault="000E6593" w:rsidP="000E659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0E6593" w:rsidRDefault="000E6593" w:rsidP="000E659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0E6593" w:rsidRPr="007742FB" w:rsidRDefault="000E6593" w:rsidP="00B3035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42FB">
              <w:rPr>
                <w:rFonts w:ascii="Times New Roman" w:hAnsi="Times New Roman" w:cs="Times New Roman"/>
                <w:i/>
                <w:iCs/>
              </w:rPr>
              <w:t>“</w:t>
            </w:r>
            <w:r w:rsidR="00B3035F" w:rsidRPr="007742FB">
              <w:rPr>
                <w:rFonts w:ascii="Times New Roman" w:hAnsi="Times New Roman" w:cs="Times New Roman"/>
                <w:i/>
                <w:iCs/>
              </w:rPr>
              <w:t xml:space="preserve">Per l’Arma dei Carabinieri, le esigenze di trasloco e riorganizzazione </w:t>
            </w:r>
            <w:r w:rsidR="00B3035F" w:rsidRPr="00B3035F">
              <w:rPr>
                <w:rFonts w:ascii="Times New Roman" w:hAnsi="Times New Roman" w:cs="Times New Roman"/>
                <w:i/>
                <w:iCs/>
              </w:rPr>
              <w:t>familiare sussistono anche per il personale accasermato, ai sensi dell’art. 56, co. 2 del</w:t>
            </w:r>
            <w:r w:rsidR="007742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3035F" w:rsidRPr="007742FB">
              <w:rPr>
                <w:rFonts w:ascii="Times New Roman" w:hAnsi="Times New Roman" w:cs="Times New Roman"/>
                <w:i/>
                <w:iCs/>
              </w:rPr>
              <w:t>D.P.R. 18 giugno 2002, n. 164.</w:t>
            </w:r>
            <w:r w:rsidRPr="007742FB">
              <w:rPr>
                <w:rFonts w:ascii="Times New Roman" w:hAnsi="Times New Roman" w:cs="Times New Roman"/>
                <w:i/>
                <w:iCs/>
              </w:rPr>
              <w:t>”</w:t>
            </w:r>
          </w:p>
          <w:p w:rsidR="007742FB" w:rsidRDefault="007742FB" w:rsidP="007742FB">
            <w:pPr>
              <w:jc w:val="both"/>
              <w:rPr>
                <w:rFonts w:ascii="Times New Roman" w:hAnsi="Times New Roman" w:cs="Times New Roman"/>
              </w:rPr>
            </w:pPr>
          </w:p>
          <w:p w:rsidR="007742FB" w:rsidRDefault="007742FB" w:rsidP="00774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Riferimenti:</w:t>
            </w:r>
          </w:p>
          <w:p w:rsidR="007742FB" w:rsidRPr="008441F9" w:rsidRDefault="007742FB" w:rsidP="007742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441F9">
              <w:rPr>
                <w:rFonts w:ascii="Times New Roman" w:hAnsi="Times New Roman" w:cs="Times New Roman"/>
                <w:i/>
                <w:iCs/>
              </w:rPr>
              <w:t>Art. 13 D.P.R. 394/1995 (per Esercito, Marina e Aeronautica) e art. 48 D.P.R. 395/1995 (per l’Arma dei Carabinieri)</w:t>
            </w:r>
            <w:r w:rsidR="008441F9" w:rsidRPr="008441F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0E6593" w:rsidRDefault="008441F9" w:rsidP="004A528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1F9">
              <w:rPr>
                <w:rFonts w:ascii="Times New Roman" w:hAnsi="Times New Roman" w:cs="Times New Roman"/>
                <w:i/>
                <w:iCs/>
              </w:rPr>
              <w:t>Norme Unificate per la concessione delle licenze ai militari dell’Esercito, della Marina e dell’Aeronautica – Edizione 1990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;</w:t>
            </w:r>
          </w:p>
          <w:p w:rsidR="005A7530" w:rsidRDefault="005A7530" w:rsidP="004A528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A7530" w:rsidRDefault="005A7530" w:rsidP="005A753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Disciplinato con lettera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M_D AB05933 REG202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0554385 in data </w:t>
            </w:r>
            <w:r>
              <w:rPr>
                <w:rFonts w:ascii="Times New Roman" w:hAnsi="Times New Roman" w:cs="Times New Roman"/>
                <w:i/>
                <w:iCs/>
              </w:rPr>
              <w:t>27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settembre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avente ad oggetto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Guida Tecnica in materia di licenze, permessi e riposi in godimento al personale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militare – var. 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</w:p>
          <w:p w:rsidR="005A7530" w:rsidRDefault="005A7530" w:rsidP="004A528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0E6593" w:rsidRPr="00B3035F" w:rsidRDefault="000E6593" w:rsidP="00B303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="00B3035F">
              <w:rPr>
                <w:rFonts w:ascii="Times New Roman" w:hAnsi="Times New Roman" w:cs="Times New Roman"/>
                <w:b/>
                <w:bCs/>
              </w:rPr>
              <w:t xml:space="preserve">Si estende al personale dell’Esercito, della Marina e dell’Aeronautica </w:t>
            </w:r>
            <w:r w:rsidR="00DE2C20">
              <w:rPr>
                <w:rFonts w:ascii="Times New Roman" w:hAnsi="Times New Roman" w:cs="Times New Roman"/>
                <w:b/>
                <w:bCs/>
              </w:rPr>
              <w:t xml:space="preserve">l’applicazione </w:t>
            </w:r>
            <w:r w:rsidR="00B3035F" w:rsidRPr="00B3035F">
              <w:rPr>
                <w:rFonts w:ascii="Times New Roman" w:hAnsi="Times New Roman" w:cs="Times New Roman"/>
                <w:b/>
                <w:bCs/>
              </w:rPr>
              <w:t>dell’art. 56, co. 2 del</w:t>
            </w:r>
            <w:r w:rsidR="00B303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035F" w:rsidRPr="00B3035F">
              <w:rPr>
                <w:rFonts w:ascii="Times New Roman" w:hAnsi="Times New Roman" w:cs="Times New Roman"/>
                <w:b/>
                <w:bCs/>
              </w:rPr>
              <w:t>D.P.R. 18 giugno 2002, n. 164</w:t>
            </w:r>
            <w:r w:rsidR="00DE2C20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0E6593" w:rsidRDefault="00B65491" w:rsidP="00FC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Armonizzare il trattamento del personale </w:t>
            </w:r>
            <w:r w:rsidR="00B3035F">
              <w:rPr>
                <w:rFonts w:ascii="Times New Roman" w:hAnsi="Times New Roman" w:cs="Times New Roman"/>
              </w:rPr>
              <w:t>EMA con il personale dell’Arma dei Carabinieri.</w:t>
            </w:r>
          </w:p>
          <w:p w:rsidR="007742FB" w:rsidRDefault="007742FB" w:rsidP="00FC0359">
            <w:pPr>
              <w:jc w:val="both"/>
              <w:rPr>
                <w:rFonts w:ascii="Times New Roman" w:hAnsi="Times New Roman" w:cs="Times New Roman"/>
              </w:rPr>
            </w:pPr>
          </w:p>
          <w:p w:rsidR="007742FB" w:rsidRPr="00987DDA" w:rsidRDefault="007742FB" w:rsidP="007742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6593" w:rsidRDefault="000E6593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p w:rsidR="008441F9" w:rsidRDefault="008441F9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E2C20" w:rsidTr="00FC0359">
        <w:tc>
          <w:tcPr>
            <w:tcW w:w="4759" w:type="dxa"/>
          </w:tcPr>
          <w:p w:rsidR="00DE2C20" w:rsidRDefault="00DE2C20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DE2C20" w:rsidRDefault="00DE2C20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DE2C20" w:rsidRDefault="00DE2C20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DE2C20" w:rsidRDefault="00DE2C20" w:rsidP="00DE2C20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E2C20" w:rsidTr="00FC0359">
        <w:tc>
          <w:tcPr>
            <w:tcW w:w="4759" w:type="dxa"/>
          </w:tcPr>
          <w:p w:rsidR="00DE2C20" w:rsidRDefault="00727BC7" w:rsidP="00727BC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8441F9">
              <w:rPr>
                <w:rFonts w:ascii="Times New Roman" w:hAnsi="Times New Roman" w:cs="Times New Roman"/>
                <w:i/>
                <w:iCs/>
              </w:rPr>
              <w:t>Il Comandante del reparto/ente, dopo aver verificato la</w:t>
            </w:r>
            <w:r w:rsidR="007742FB" w:rsidRPr="008441F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27BC7">
              <w:rPr>
                <w:rFonts w:ascii="Times New Roman" w:hAnsi="Times New Roman" w:cs="Times New Roman"/>
                <w:i/>
                <w:iCs/>
              </w:rPr>
              <w:t>sussistenza dei presupposti per la concessione, può anche disporne il frazionamento o</w:t>
            </w:r>
            <w:r w:rsidRPr="008441F9">
              <w:rPr>
                <w:rFonts w:ascii="Times New Roman" w:hAnsi="Times New Roman" w:cs="Times New Roman"/>
                <w:i/>
                <w:iCs/>
              </w:rPr>
              <w:t xml:space="preserve"> il differimento per particolari esigenze di servizio</w:t>
            </w:r>
            <w:r w:rsidRPr="00727B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</w:p>
          <w:p w:rsidR="007742FB" w:rsidRDefault="007742FB" w:rsidP="00727BC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742FB" w:rsidRDefault="007742FB" w:rsidP="00774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Riferimenti:</w:t>
            </w:r>
          </w:p>
          <w:p w:rsidR="007742FB" w:rsidRPr="008441F9" w:rsidRDefault="007742FB" w:rsidP="007742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441F9">
              <w:rPr>
                <w:rFonts w:ascii="Times New Roman" w:hAnsi="Times New Roman" w:cs="Times New Roman"/>
                <w:i/>
                <w:iCs/>
              </w:rPr>
              <w:t>Art. 13 D.P.R. 394/1995 (per Esercito, Marina e Aeronautica)</w:t>
            </w:r>
          </w:p>
          <w:p w:rsidR="008441F9" w:rsidRDefault="008441F9" w:rsidP="008441F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441F9">
              <w:rPr>
                <w:rFonts w:ascii="Times New Roman" w:hAnsi="Times New Roman" w:cs="Times New Roman"/>
                <w:i/>
                <w:iCs/>
              </w:rPr>
              <w:t>Norme Unificate per la concessione delle licenze ai militari dell’Esercito, della Marina e dell’Aeronautica – Edizione 1990;</w:t>
            </w:r>
          </w:p>
          <w:p w:rsidR="005A7530" w:rsidRDefault="005A7530" w:rsidP="008441F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742FB" w:rsidRPr="005A7530" w:rsidRDefault="005A7530" w:rsidP="007742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Disciplinato con lettera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M_D AB05933 REG202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0554385 in data </w:t>
            </w:r>
            <w:r>
              <w:rPr>
                <w:rFonts w:ascii="Times New Roman" w:hAnsi="Times New Roman" w:cs="Times New Roman"/>
                <w:i/>
                <w:iCs/>
              </w:rPr>
              <w:t>27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settembre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4A5281">
              <w:rPr>
                <w:rFonts w:ascii="Times New Roman" w:hAnsi="Times New Roman" w:cs="Times New Roman"/>
                <w:i/>
                <w:iCs/>
              </w:rPr>
              <w:t xml:space="preserve"> avente ad oggetto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Guida Tecnica in materia di licenze, permessi e riposi in godimento al personale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5281">
              <w:rPr>
                <w:rFonts w:ascii="Times New Roman" w:hAnsi="Times New Roman" w:cs="Times New Roman"/>
                <w:i/>
                <w:iCs/>
              </w:rPr>
              <w:t>militare – var. 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“</w:t>
            </w:r>
          </w:p>
        </w:tc>
        <w:tc>
          <w:tcPr>
            <w:tcW w:w="4759" w:type="dxa"/>
          </w:tcPr>
          <w:p w:rsidR="00DE2C20" w:rsidRDefault="00DE2C20" w:rsidP="00DE2C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="007742FB" w:rsidRPr="007742FB">
              <w:rPr>
                <w:rFonts w:ascii="Times New Roman" w:hAnsi="Times New Roman" w:cs="Times New Roman"/>
                <w:i/>
                <w:iCs/>
              </w:rPr>
              <w:t xml:space="preserve">Il Comandante del reparto/ente, dopo aver verificato la </w:t>
            </w:r>
            <w:r w:rsidR="007742FB" w:rsidRPr="00727BC7">
              <w:rPr>
                <w:rFonts w:ascii="Times New Roman" w:hAnsi="Times New Roman" w:cs="Times New Roman"/>
                <w:i/>
                <w:iCs/>
              </w:rPr>
              <w:t>sussistenza dei presupposti per la concessione, può anche disporne il frazionamento o</w:t>
            </w:r>
            <w:r w:rsidR="007742FB" w:rsidRPr="007742FB">
              <w:rPr>
                <w:rFonts w:ascii="Times New Roman" w:hAnsi="Times New Roman" w:cs="Times New Roman"/>
                <w:i/>
                <w:iCs/>
              </w:rPr>
              <w:t xml:space="preserve"> il differimento per particolari esigenze di servizio</w:t>
            </w:r>
            <w:r w:rsidR="007742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 richiesta dell’interessato si</w:t>
            </w:r>
            <w:r w:rsidR="007742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può chiedere la fruizione frazionata</w:t>
            </w:r>
            <w:r w:rsidR="007742FB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7068DD">
              <w:rPr>
                <w:rFonts w:ascii="Times New Roman" w:hAnsi="Times New Roman" w:cs="Times New Roman"/>
                <w:b/>
                <w:bCs/>
                <w:i/>
                <w:iCs/>
              </w:rPr>
              <w:t>anche giornaliera</w:t>
            </w:r>
            <w:r w:rsidR="007742FB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7068D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della licenza straordinaria speciale di trasferimento</w:t>
            </w:r>
            <w:r w:rsidR="000E0531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7068DD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</w:p>
        </w:tc>
        <w:tc>
          <w:tcPr>
            <w:tcW w:w="4759" w:type="dxa"/>
          </w:tcPr>
          <w:p w:rsidR="00DE2C20" w:rsidRPr="00987DDA" w:rsidRDefault="007068DD" w:rsidP="00FC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Rendere fruibile la licenza in base alle reali esigenze </w:t>
            </w:r>
            <w:r w:rsidR="00727BC7">
              <w:rPr>
                <w:rFonts w:ascii="Times New Roman" w:hAnsi="Times New Roman" w:cs="Times New Roman"/>
              </w:rPr>
              <w:t xml:space="preserve">del personale </w:t>
            </w:r>
            <w:r w:rsidR="007742FB">
              <w:rPr>
                <w:rFonts w:ascii="Times New Roman" w:hAnsi="Times New Roman" w:cs="Times New Roman"/>
              </w:rPr>
              <w:t xml:space="preserve">militare </w:t>
            </w:r>
            <w:r w:rsidR="00727BC7">
              <w:rPr>
                <w:rFonts w:ascii="Times New Roman" w:hAnsi="Times New Roman" w:cs="Times New Roman"/>
              </w:rPr>
              <w:t>trasferito.</w:t>
            </w:r>
          </w:p>
        </w:tc>
      </w:tr>
    </w:tbl>
    <w:p w:rsidR="00DE2C20" w:rsidRDefault="00DE2C20" w:rsidP="00DE2C20">
      <w:pPr>
        <w:rPr>
          <w:rFonts w:ascii="Times New Roman" w:hAnsi="Times New Roman" w:cs="Times New Roman"/>
        </w:rPr>
      </w:pPr>
    </w:p>
    <w:p w:rsidR="00DE2C20" w:rsidRDefault="00DE2C20" w:rsidP="00DE2C20">
      <w:pPr>
        <w:rPr>
          <w:rFonts w:ascii="Times New Roman" w:hAnsi="Times New Roman" w:cs="Times New Roman"/>
        </w:rPr>
      </w:pPr>
    </w:p>
    <w:p w:rsidR="00DE2C20" w:rsidRDefault="00DE2C20" w:rsidP="00DE2C20">
      <w:pPr>
        <w:rPr>
          <w:rFonts w:ascii="Times New Roman" w:hAnsi="Times New Roman" w:cs="Times New Roman"/>
        </w:rPr>
      </w:pPr>
    </w:p>
    <w:p w:rsidR="00DE2C20" w:rsidRDefault="00DE2C20" w:rsidP="00DE2C20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0E6593" w:rsidRDefault="000E6593">
      <w:pPr>
        <w:rPr>
          <w:rFonts w:ascii="Times New Roman" w:hAnsi="Times New Roman" w:cs="Times New Roman"/>
        </w:rPr>
      </w:pPr>
    </w:p>
    <w:p w:rsidR="00B65491" w:rsidRDefault="00B65491">
      <w:pPr>
        <w:rPr>
          <w:rFonts w:ascii="Times New Roman" w:hAnsi="Times New Roman" w:cs="Times New Roman"/>
        </w:rPr>
      </w:pPr>
    </w:p>
    <w:p w:rsidR="00B65491" w:rsidRDefault="00B65491">
      <w:pPr>
        <w:rPr>
          <w:rFonts w:ascii="Times New Roman" w:hAnsi="Times New Roman" w:cs="Times New Roman"/>
        </w:rPr>
      </w:pPr>
    </w:p>
    <w:p w:rsidR="00AA3A0B" w:rsidRDefault="00AA3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ALLOGGI ASC </w:t>
      </w:r>
    </w:p>
    <w:p w:rsidR="00AA3A0B" w:rsidRDefault="00AA3A0B">
      <w:pPr>
        <w:rPr>
          <w:rFonts w:ascii="Times New Roman" w:hAnsi="Times New Roman" w:cs="Times New Roman"/>
        </w:rPr>
      </w:pPr>
    </w:p>
    <w:p w:rsidR="000E6593" w:rsidRDefault="000E6593" w:rsidP="000E659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0E6593" w:rsidRDefault="000E6593" w:rsidP="000E659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E6593" w:rsidTr="00FC0359">
        <w:tc>
          <w:tcPr>
            <w:tcW w:w="4759" w:type="dxa"/>
          </w:tcPr>
          <w:p w:rsidR="000E6593" w:rsidRPr="00E41901" w:rsidRDefault="000E6593" w:rsidP="00FC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0E0531" w:rsidRPr="00E41901">
              <w:rPr>
                <w:rFonts w:ascii="Times New Roman" w:hAnsi="Times New Roman" w:cs="Times New Roman"/>
                <w:sz w:val="20"/>
                <w:szCs w:val="20"/>
              </w:rPr>
              <w:t xml:space="preserve">317 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1901">
              <w:rPr>
                <w:rFonts w:ascii="Titillium Web" w:eastAsia="Times New Roman" w:hAnsi="Titillium Web" w:cs="Times New Roman"/>
                <w:color w:val="19191A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 xml:space="preserve">DECRETO LEGISLATIVO 15 marzo 2010, n. </w:t>
            </w:r>
            <w:r w:rsidR="000E0531" w:rsidRPr="00E419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E6593" w:rsidRPr="00E41901" w:rsidRDefault="000E0531" w:rsidP="000E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Personale ammesso alle concessioni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…omissis…</w:t>
            </w:r>
          </w:p>
          <w:p w:rsidR="000E6593" w:rsidRPr="00E41901" w:rsidRDefault="000E6593" w:rsidP="00FC03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="000E0531" w:rsidRPr="00E41901">
              <w:rPr>
                <w:rFonts w:ascii="Titillium Web" w:hAnsi="Titillium Web"/>
                <w:color w:val="19191A"/>
                <w:sz w:val="20"/>
                <w:szCs w:val="20"/>
                <w:shd w:val="clear" w:color="auto" w:fill="FFFFFF"/>
              </w:rPr>
              <w:t xml:space="preserve"> </w:t>
            </w:r>
            <w:r w:rsidR="000E0531"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e) alloggi ASC: agli ufficiali, ai sottufficiali e ai volontari in servizio permanente, celibi o coniugati senza famiglia al seguito, secondo il seguente ordine di priorità: </w:t>
            </w:r>
            <w:r w:rsidR="000E0531"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1) personale che presti servizio nel comprensorio nel quale è ubicato l'alloggio; </w:t>
            </w:r>
            <w:r w:rsidR="000E0531"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2) personale che presti servizio nell'ambito del presidio ovvero della circoscrizione alloggiativa.</w:t>
            </w:r>
          </w:p>
          <w:p w:rsidR="000E0531" w:rsidRPr="00E41901" w:rsidRDefault="000E0531" w:rsidP="00FC03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E0531" w:rsidRPr="00E41901" w:rsidRDefault="000E0531" w:rsidP="000E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“Art. 325 -</w:t>
            </w:r>
            <w:r w:rsidRPr="00E41901">
              <w:rPr>
                <w:rFonts w:ascii="Titillium Web" w:eastAsia="Times New Roman" w:hAnsi="Titillium Web" w:cs="Times New Roman"/>
                <w:color w:val="19191A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DECRETO LEGISLATIVO 15 marzo 2010, n. 90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Assegnazione di alloggi APP, SLI e ASC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…omissis…</w:t>
            </w:r>
          </w:p>
          <w:p w:rsidR="000E0531" w:rsidRPr="000E0531" w:rsidRDefault="000E0531" w:rsidP="000E0531">
            <w:pPr>
              <w:rPr>
                <w:rFonts w:ascii="Times New Roman" w:hAnsi="Times New Roman" w:cs="Times New Roman"/>
                <w:i/>
                <w:iCs/>
              </w:rPr>
            </w:pPr>
            <w:r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e). 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L'ordine di precedenza nell'assegnazione degli alloggi ASC è determinato dall'ordine cronologico di arrivo delle richieste, attribuendo priorità alle domande del personale che presta servizio nel comprensorio ove sono ubicati gli alloggi. È data facoltà ai comandanti responsabili di assegnare con atto motivato gli alloggi prioritariamente a</w:t>
            </w:r>
            <w:r w:rsidRPr="000E0531">
              <w:rPr>
                <w:rFonts w:ascii="Times New Roman" w:hAnsi="Times New Roman" w:cs="Times New Roman"/>
                <w:i/>
                <w:iCs/>
              </w:rPr>
              <w:t xml:space="preserve"> personale che ricopre nella sede incarichi ritenuti essenziali ai fini della sicurezza.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</w:p>
          <w:p w:rsidR="000E6593" w:rsidRDefault="000E659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0E0531" w:rsidRPr="00E41901" w:rsidRDefault="000E0531" w:rsidP="000E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Art. 317 -</w:t>
            </w:r>
            <w:r w:rsidRPr="00E41901">
              <w:rPr>
                <w:rFonts w:ascii="Titillium Web" w:eastAsia="Times New Roman" w:hAnsi="Titillium Web" w:cs="Times New Roman"/>
                <w:color w:val="19191A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DECRETO LEGISLATIVO 15 marzo 2010, n. 90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Personale ammesso alle concessioni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…omissis…</w:t>
            </w:r>
          </w:p>
          <w:p w:rsidR="000E0531" w:rsidRPr="00E41901" w:rsidRDefault="000E0531" w:rsidP="000E053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”</w:t>
            </w:r>
            <w:r w:rsidRPr="00E41901">
              <w:rPr>
                <w:rFonts w:ascii="Titillium Web" w:hAnsi="Titillium Web"/>
                <w:color w:val="19191A"/>
                <w:sz w:val="20"/>
                <w:szCs w:val="20"/>
                <w:shd w:val="clear" w:color="auto" w:fill="FFFFFF"/>
              </w:rPr>
              <w:t xml:space="preserve"> 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e) alloggi ASC: agli ufficiali, ai sottufficiali e ai volontari in servizio permanente, celibi o coniugati senza famiglia al seguito, secondo il seguente ordine di priorità: 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1) personale che presti servizio nel comprensorio nel quale è ubicato l'alloggio,</w:t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87491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</w:t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rapporto progressivo alla distanza chilometrica dalla residenza;</w:t>
            </w:r>
            <w:r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 che presti servizio nell'ambito del presidio ovvero della circoscrizione alloggiativa</w:t>
            </w:r>
            <w:r w:rsidR="001E3F44"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87491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</w:t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rapporto progressivo alla distanza chilometrica dalla residenza;</w:t>
            </w:r>
          </w:p>
          <w:p w:rsidR="001E3F44" w:rsidRPr="00E41901" w:rsidRDefault="001E3F44" w:rsidP="000E053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0E0531" w:rsidRPr="00E41901" w:rsidRDefault="000E0531" w:rsidP="000E0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“Art. 325 -</w:t>
            </w:r>
            <w:r w:rsidRPr="00E41901">
              <w:rPr>
                <w:rFonts w:ascii="Titillium Web" w:eastAsia="Times New Roman" w:hAnsi="Titillium Web" w:cs="Times New Roman"/>
                <w:color w:val="19191A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DECRETO LEGISLATIVO 15 marzo 2010, n. 90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Assegnazione di alloggi APP, SLI e ASC</w:t>
            </w:r>
          </w:p>
          <w:p w:rsidR="000E0531" w:rsidRPr="00E41901" w:rsidRDefault="000E0531" w:rsidP="000E05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1901">
              <w:rPr>
                <w:rFonts w:ascii="Times New Roman" w:hAnsi="Times New Roman" w:cs="Times New Roman"/>
                <w:sz w:val="20"/>
                <w:szCs w:val="20"/>
              </w:rPr>
              <w:t>…omissis…</w:t>
            </w:r>
          </w:p>
          <w:p w:rsidR="000E0531" w:rsidRPr="000E0531" w:rsidRDefault="000E0531" w:rsidP="000E0531">
            <w:pPr>
              <w:rPr>
                <w:rFonts w:ascii="Times New Roman" w:hAnsi="Times New Roman" w:cs="Times New Roman"/>
                <w:i/>
                <w:iCs/>
              </w:rPr>
            </w:pPr>
            <w:r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e). 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L'ordine di precedenza nell'assegnazione degli alloggi ASC è determinato dall'ordine cronologico di arrivo delle richieste, attribuendo priorità alle domande del personale</w:t>
            </w:r>
            <w:r w:rsidR="001E3F44"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E3F44" w:rsidRPr="00E419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come disciplinato dall’art. 317</w:t>
            </w:r>
            <w:r w:rsidRPr="00E41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È data facoltà ai comandanti responsabili di</w:t>
            </w:r>
            <w:r w:rsidRPr="000E0531">
              <w:rPr>
                <w:rFonts w:ascii="Times New Roman" w:hAnsi="Times New Roman" w:cs="Times New Roman"/>
                <w:i/>
                <w:iCs/>
              </w:rPr>
              <w:t xml:space="preserve"> assegnare con atto motivato gli alloggi prioritariamente a personale che ricopre nella sede incarichi ritenuti essenziali ai fini della sicurezza.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</w:p>
          <w:p w:rsidR="000E6593" w:rsidRDefault="000E6593" w:rsidP="000E05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0E6593" w:rsidRPr="00987DDA" w:rsidRDefault="001E3F44" w:rsidP="00FC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Creare tutele crescenti in rapporto al disagio della distanza ed armonizzare l’art. 325 con l’art. 317.</w:t>
            </w:r>
          </w:p>
        </w:tc>
      </w:tr>
    </w:tbl>
    <w:p w:rsidR="000E6593" w:rsidRDefault="000E6593" w:rsidP="004107B5">
      <w:pPr>
        <w:rPr>
          <w:rFonts w:ascii="Times New Roman" w:hAnsi="Times New Roman" w:cs="Times New Roman"/>
        </w:rPr>
      </w:pPr>
    </w:p>
    <w:p w:rsidR="000E6593" w:rsidRDefault="000E6593" w:rsidP="004107B5">
      <w:pPr>
        <w:rPr>
          <w:rFonts w:ascii="Times New Roman" w:hAnsi="Times New Roman" w:cs="Times New Roman"/>
        </w:rPr>
      </w:pPr>
    </w:p>
    <w:p w:rsidR="00E41901" w:rsidRDefault="00E41901" w:rsidP="007315B3">
      <w:pPr>
        <w:rPr>
          <w:rFonts w:ascii="Times New Roman" w:hAnsi="Times New Roman" w:cs="Times New Roman"/>
        </w:rPr>
      </w:pPr>
    </w:p>
    <w:p w:rsidR="007315B3" w:rsidRDefault="007315B3" w:rsidP="00731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REGISTRO </w:t>
      </w:r>
      <w:r w:rsidRPr="007315B3">
        <w:rPr>
          <w:rFonts w:ascii="Times New Roman" w:hAnsi="Times New Roman" w:cs="Times New Roman"/>
        </w:rPr>
        <w:t>RECLAMI</w:t>
      </w:r>
      <w:r>
        <w:rPr>
          <w:rFonts w:ascii="Times New Roman" w:hAnsi="Times New Roman" w:cs="Times New Roman"/>
        </w:rPr>
        <w:t xml:space="preserve"> MENSA</w:t>
      </w:r>
    </w:p>
    <w:p w:rsidR="007315B3" w:rsidRDefault="007315B3" w:rsidP="007315B3">
      <w:pPr>
        <w:rPr>
          <w:rFonts w:ascii="Times New Roman" w:hAnsi="Times New Roman" w:cs="Times New Roman"/>
        </w:rPr>
      </w:pPr>
    </w:p>
    <w:p w:rsidR="007315B3" w:rsidRDefault="007315B3" w:rsidP="007315B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315B3" w:rsidTr="00FC0359">
        <w:tc>
          <w:tcPr>
            <w:tcW w:w="4759" w:type="dxa"/>
          </w:tcPr>
          <w:p w:rsidR="007315B3" w:rsidRDefault="007315B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7315B3" w:rsidRDefault="007315B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7315B3" w:rsidRDefault="007315B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7315B3" w:rsidRDefault="007315B3" w:rsidP="007315B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315B3" w:rsidTr="00FC0359">
        <w:tc>
          <w:tcPr>
            <w:tcW w:w="4759" w:type="dxa"/>
          </w:tcPr>
          <w:p w:rsidR="007315B3" w:rsidRPr="007315B3" w:rsidRDefault="007315B3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>“</w:t>
            </w:r>
            <w:r w:rsidRPr="004107B5">
              <w:rPr>
                <w:rFonts w:ascii="Times New Roman" w:hAnsi="Times New Roman" w:cs="Times New Roman"/>
                <w:i/>
                <w:iCs/>
              </w:rPr>
              <w:t xml:space="preserve">Art. </w:t>
            </w:r>
            <w:r w:rsidRPr="007315B3">
              <w:rPr>
                <w:rFonts w:ascii="Times New Roman" w:hAnsi="Times New Roman" w:cs="Times New Roman"/>
                <w:i/>
                <w:iCs/>
              </w:rPr>
              <w:t>481 -</w:t>
            </w:r>
            <w:r w:rsidRPr="007315B3">
              <w:rPr>
                <w:rFonts w:ascii="Titillium Web" w:eastAsia="Times New Roman" w:hAnsi="Titillium Web" w:cs="Times New Roman"/>
                <w:i/>
                <w:iCs/>
                <w:color w:val="19191A"/>
                <w:kern w:val="0"/>
                <w:sz w:val="30"/>
                <w:szCs w:val="30"/>
                <w:lang w:eastAsia="it-IT"/>
                <w14:ligatures w14:val="none"/>
              </w:rPr>
              <w:t xml:space="preserve"> </w:t>
            </w:r>
            <w:r w:rsidRPr="007315B3">
              <w:rPr>
                <w:rFonts w:ascii="Times New Roman" w:hAnsi="Times New Roman" w:cs="Times New Roman"/>
                <w:i/>
                <w:iCs/>
              </w:rPr>
              <w:t>DECRETO LEGISLATIVO 15 marzo 2010, n. 66</w:t>
            </w:r>
          </w:p>
          <w:p w:rsidR="007315B3" w:rsidRPr="007315B3" w:rsidRDefault="007315B3" w:rsidP="007315B3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>Presso la commissione amministrativa è tenuto un registro dei reclami cui hanno accesso tutti i conviventi alla mensa. </w:t>
            </w:r>
          </w:p>
          <w:p w:rsidR="007315B3" w:rsidRPr="007315B3" w:rsidRDefault="007315B3" w:rsidP="00FC035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>All'atto della trasmissione dei documenti di cui all'articolo 492, comma 2, è allegato l'estratto del registro, corredato dalle eventuali osservazioni della commissione amministrativa.”</w:t>
            </w:r>
          </w:p>
          <w:p w:rsidR="007315B3" w:rsidRDefault="007315B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7315B3" w:rsidRPr="007315B3" w:rsidRDefault="007315B3" w:rsidP="007315B3">
            <w:pPr>
              <w:rPr>
                <w:rFonts w:ascii="Times New Roman" w:hAnsi="Times New Roman" w:cs="Times New Roman"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>“</w:t>
            </w:r>
            <w:r w:rsidRPr="004107B5">
              <w:rPr>
                <w:rFonts w:ascii="Times New Roman" w:hAnsi="Times New Roman" w:cs="Times New Roman"/>
                <w:i/>
                <w:iCs/>
              </w:rPr>
              <w:t xml:space="preserve">Art. </w:t>
            </w:r>
            <w:r w:rsidRPr="007315B3">
              <w:rPr>
                <w:rFonts w:ascii="Times New Roman" w:hAnsi="Times New Roman" w:cs="Times New Roman"/>
                <w:i/>
                <w:iCs/>
              </w:rPr>
              <w:t>481 -</w:t>
            </w:r>
            <w:r w:rsidRPr="007315B3">
              <w:rPr>
                <w:rFonts w:ascii="Titillium Web" w:eastAsia="Times New Roman" w:hAnsi="Titillium Web" w:cs="Times New Roman"/>
                <w:i/>
                <w:iCs/>
                <w:color w:val="19191A"/>
                <w:kern w:val="0"/>
                <w:sz w:val="30"/>
                <w:szCs w:val="30"/>
                <w:lang w:eastAsia="it-IT"/>
                <w14:ligatures w14:val="none"/>
              </w:rPr>
              <w:t xml:space="preserve"> </w:t>
            </w:r>
            <w:r w:rsidRPr="007315B3">
              <w:rPr>
                <w:rFonts w:ascii="Times New Roman" w:hAnsi="Times New Roman" w:cs="Times New Roman"/>
                <w:i/>
                <w:iCs/>
              </w:rPr>
              <w:t>DECRETO LEGISLATIVO 15 marzo 2010, n. 66</w:t>
            </w:r>
          </w:p>
          <w:p w:rsidR="007315B3" w:rsidRPr="007315B3" w:rsidRDefault="007315B3" w:rsidP="007315B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 xml:space="preserve">Presso </w:t>
            </w:r>
            <w:r w:rsidRPr="007315B3">
              <w:rPr>
                <w:rFonts w:ascii="Times New Roman" w:hAnsi="Times New Roman" w:cs="Times New Roman"/>
                <w:b/>
                <w:bCs/>
                <w:i/>
                <w:iCs/>
              </w:rPr>
              <w:t>ogni linea distribuzione pasti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15B3">
              <w:rPr>
                <w:rFonts w:ascii="Times New Roman" w:hAnsi="Times New Roman" w:cs="Times New Roman"/>
                <w:i/>
                <w:iCs/>
              </w:rPr>
              <w:t>è tenuto un registro dei reclami cui hanno accesso tutti i conviventi alla mensa. </w:t>
            </w:r>
            <w:r w:rsidRPr="007315B3">
              <w:rPr>
                <w:rFonts w:ascii="Times New Roman" w:hAnsi="Times New Roman" w:cs="Times New Roman"/>
                <w:b/>
                <w:bCs/>
                <w:i/>
                <w:iCs/>
              </w:rPr>
              <w:t>La custodia è devoluta al gestore/delegato dell’Amministrazione Difesa al servizio mensa.</w:t>
            </w:r>
          </w:p>
          <w:p w:rsidR="007315B3" w:rsidRPr="007315B3" w:rsidRDefault="007315B3" w:rsidP="007315B3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</w:rPr>
            </w:pPr>
            <w:r w:rsidRPr="007315B3">
              <w:rPr>
                <w:rFonts w:ascii="Times New Roman" w:hAnsi="Times New Roman" w:cs="Times New Roman"/>
                <w:i/>
                <w:iCs/>
              </w:rPr>
              <w:t>All'atto della trasmissione dei documenti di cui all'articolo 492, comma 2, è allegato l'estratto del registro, corredato dalle eventuali osservazioni della commissione amministrativa.”</w:t>
            </w:r>
          </w:p>
          <w:p w:rsidR="007315B3" w:rsidRDefault="007315B3" w:rsidP="007315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7315B3" w:rsidRPr="00987DDA" w:rsidRDefault="007315B3" w:rsidP="00FC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Rendere realmente fruibile ai conviventi al pasto il registro dei reclami.</w:t>
            </w:r>
          </w:p>
        </w:tc>
      </w:tr>
    </w:tbl>
    <w:p w:rsidR="007315B3" w:rsidRDefault="00731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7FD7" w:rsidRDefault="00D03806" w:rsidP="00E27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TRATTAMENTO ALIMENTARE </w:t>
      </w:r>
      <w:r w:rsidR="00E27FD7">
        <w:rPr>
          <w:rFonts w:ascii="Times New Roman" w:hAnsi="Times New Roman" w:cs="Times New Roman"/>
        </w:rPr>
        <w:t>GRATUITO</w:t>
      </w:r>
    </w:p>
    <w:p w:rsidR="00E27FD7" w:rsidRDefault="00E27FD7" w:rsidP="00E27FD7">
      <w:pPr>
        <w:rPr>
          <w:rFonts w:ascii="Times New Roman" w:hAnsi="Times New Roman" w:cs="Times New Roman"/>
        </w:rPr>
      </w:pPr>
    </w:p>
    <w:p w:rsidR="00E27FD7" w:rsidRDefault="00E27FD7" w:rsidP="00E27FD7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27FD7" w:rsidTr="00FC0359">
        <w:tc>
          <w:tcPr>
            <w:tcW w:w="4759" w:type="dxa"/>
          </w:tcPr>
          <w:p w:rsidR="00E27FD7" w:rsidRDefault="00E27FD7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E27FD7" w:rsidRDefault="00E27FD7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E27FD7" w:rsidRDefault="00E27FD7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E27FD7" w:rsidRDefault="00E27FD7" w:rsidP="00E27FD7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E27FD7" w:rsidTr="00FC0359">
        <w:tc>
          <w:tcPr>
            <w:tcW w:w="4759" w:type="dxa"/>
          </w:tcPr>
          <w:p w:rsidR="007C48BA" w:rsidRPr="007C48BA" w:rsidRDefault="00E27FD7" w:rsidP="007C48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="007C48BA" w:rsidRPr="007C48BA">
              <w:rPr>
                <w:rFonts w:ascii="Times New Roman" w:hAnsi="Times New Roman" w:cs="Times New Roman"/>
                <w:i/>
                <w:iCs/>
              </w:rPr>
              <w:t>il</w:t>
            </w:r>
            <w:r w:rsidR="007C48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48BA" w:rsidRPr="007C48BA">
              <w:rPr>
                <w:rFonts w:ascii="Times New Roman" w:hAnsi="Times New Roman" w:cs="Times New Roman"/>
                <w:i/>
                <w:iCs/>
              </w:rPr>
              <w:t>trattamento alimentare gratuito è subordinato all’effettivo prolungamento dell’attività</w:t>
            </w:r>
            <w:r w:rsidR="007C48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48BA" w:rsidRPr="007C48BA">
              <w:rPr>
                <w:rFonts w:ascii="Times New Roman" w:hAnsi="Times New Roman" w:cs="Times New Roman"/>
                <w:i/>
                <w:iCs/>
              </w:rPr>
              <w:t>lavorativa per un’ora dopo le 14 per il pranzo e un’ora dopo le 19 per la cena, al netto</w:t>
            </w:r>
            <w:r w:rsidR="007C48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48BA" w:rsidRPr="007C48BA">
              <w:rPr>
                <w:rFonts w:ascii="Times New Roman" w:hAnsi="Times New Roman" w:cs="Times New Roman"/>
                <w:i/>
                <w:iCs/>
              </w:rPr>
              <w:t>dell’intervallo di 30 minuti riservato alla consumazione del pasto. Conseguentemente</w:t>
            </w:r>
            <w:r w:rsidR="007C48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C48BA" w:rsidRPr="007C48BA">
              <w:rPr>
                <w:rFonts w:ascii="Times New Roman" w:hAnsi="Times New Roman" w:cs="Times New Roman"/>
                <w:i/>
                <w:iCs/>
              </w:rPr>
              <w:t>l’attività lavorativa deve protrarsi:</w:t>
            </w:r>
          </w:p>
          <w:p w:rsidR="007C48BA" w:rsidRPr="007C48BA" w:rsidRDefault="007C48BA" w:rsidP="007C48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- per il vitto meridiano continuativamente dalle ore 14 alle ore 15.30;</w:t>
            </w:r>
          </w:p>
          <w:p w:rsidR="007C48BA" w:rsidRPr="007C48BA" w:rsidRDefault="007C48BA" w:rsidP="007C48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- per il vitto serale continuativamente dalle ore 19 alle ore 20.30.</w:t>
            </w:r>
          </w:p>
          <w:p w:rsidR="007C48BA" w:rsidRPr="007C48BA" w:rsidRDefault="007C48BA" w:rsidP="007C48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b. Al personale che presta servizio in orario coincidente con la pausa pranzo o cena secondo le</w:t>
            </w:r>
          </w:p>
          <w:p w:rsidR="00E27FD7" w:rsidRDefault="007C48BA" w:rsidP="007C48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condizioni di cui al precedente para a., spetta il riconoscimento del vitto gratuito, 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C48BA">
              <w:rPr>
                <w:rFonts w:ascii="Times New Roman" w:hAnsi="Times New Roman" w:cs="Times New Roman"/>
                <w:i/>
                <w:iCs/>
              </w:rPr>
              <w:t>prescindere dalla durata minima della prestazione lavorativa.</w:t>
            </w:r>
            <w:r w:rsidR="00E27FD7" w:rsidRPr="004107B5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</w:p>
          <w:p w:rsidR="00B13FD5" w:rsidRPr="007C48BA" w:rsidRDefault="00B13FD5" w:rsidP="007C48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C48BA" w:rsidRPr="007C48BA" w:rsidRDefault="007C48BA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Riferimenti:</w:t>
            </w:r>
          </w:p>
          <w:p w:rsidR="007C48BA" w:rsidRDefault="007C48BA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D.M.25 SETTEMBRE 1990, DPR 394/95, DPR 255/99, DPR 163/02, DPR 52/09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7C48BA" w:rsidRPr="007C48BA" w:rsidRDefault="007C48BA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 xml:space="preserve">disposizioni emanate da </w:t>
            </w:r>
            <w:proofErr w:type="spellStart"/>
            <w:r w:rsidRPr="007C48BA">
              <w:rPr>
                <w:rFonts w:ascii="Times New Roman" w:hAnsi="Times New Roman" w:cs="Times New Roman"/>
                <w:i/>
                <w:iCs/>
              </w:rPr>
              <w:t>Segredifesa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con direttiva anno 2003 var.4;</w:t>
            </w:r>
          </w:p>
          <w:p w:rsidR="00E27FD7" w:rsidRDefault="00E27FD7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E27FD7" w:rsidRPr="00B13FD5" w:rsidRDefault="00E27FD7" w:rsidP="00B13F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FD5">
              <w:rPr>
                <w:rFonts w:ascii="Times New Roman" w:hAnsi="Times New Roman" w:cs="Times New Roman"/>
                <w:b/>
                <w:bCs/>
              </w:rPr>
              <w:t>“</w:t>
            </w:r>
            <w:r w:rsidR="00B13FD5" w:rsidRPr="00B13FD5">
              <w:rPr>
                <w:rFonts w:ascii="Times New Roman" w:hAnsi="Times New Roman" w:cs="Times New Roman"/>
                <w:b/>
                <w:bCs/>
              </w:rPr>
              <w:t>Il diritto al trattamento alimentare gratuito permane anche se successivamente alla maturazione e fruizione</w:t>
            </w:r>
            <w:r w:rsidR="00E56B4F">
              <w:rPr>
                <w:rFonts w:ascii="Times New Roman" w:hAnsi="Times New Roman" w:cs="Times New Roman"/>
                <w:b/>
                <w:bCs/>
              </w:rPr>
              <w:t>,</w:t>
            </w:r>
            <w:r w:rsidR="00B13FD5" w:rsidRPr="00B13FD5">
              <w:rPr>
                <w:rFonts w:ascii="Times New Roman" w:hAnsi="Times New Roman" w:cs="Times New Roman"/>
                <w:b/>
                <w:bCs/>
              </w:rPr>
              <w:t xml:space="preserve"> nel caso di malattia sopravvenuta</w:t>
            </w:r>
            <w:r w:rsidR="00E56B4F">
              <w:rPr>
                <w:rFonts w:ascii="Times New Roman" w:hAnsi="Times New Roman" w:cs="Times New Roman"/>
                <w:b/>
                <w:bCs/>
              </w:rPr>
              <w:t>,</w:t>
            </w:r>
            <w:r w:rsidR="00B13FD5" w:rsidRPr="00B13FD5">
              <w:rPr>
                <w:rFonts w:ascii="Times New Roman" w:hAnsi="Times New Roman" w:cs="Times New Roman"/>
                <w:b/>
                <w:bCs/>
              </w:rPr>
              <w:t xml:space="preserve"> si viene posti in Licenza straordinaria</w:t>
            </w:r>
            <w:r w:rsidR="00635AF3">
              <w:rPr>
                <w:rFonts w:ascii="Times New Roman" w:hAnsi="Times New Roman" w:cs="Times New Roman"/>
                <w:b/>
                <w:bCs/>
              </w:rPr>
              <w:t>.</w:t>
            </w:r>
            <w:r w:rsidR="00B13FD5" w:rsidRPr="00B13FD5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759" w:type="dxa"/>
          </w:tcPr>
          <w:p w:rsidR="00E27FD7" w:rsidRPr="00B13FD5" w:rsidRDefault="007C48BA" w:rsidP="00B13FD5">
            <w:pPr>
              <w:jc w:val="both"/>
              <w:rPr>
                <w:rFonts w:ascii="Times New Roman" w:hAnsi="Times New Roman" w:cs="Times New Roman"/>
              </w:rPr>
            </w:pPr>
            <w:r w:rsidRPr="00B13FD5">
              <w:rPr>
                <w:rFonts w:ascii="Times New Roman" w:hAnsi="Times New Roman" w:cs="Times New Roman"/>
              </w:rPr>
              <w:t>Superare casi limite dove successivamente a</w:t>
            </w:r>
            <w:r w:rsidR="00B13FD5" w:rsidRPr="00B13FD5">
              <w:rPr>
                <w:rFonts w:ascii="Times New Roman" w:hAnsi="Times New Roman" w:cs="Times New Roman"/>
              </w:rPr>
              <w:t>lla maturazione e fruizione del diritto al trattamento alimentare gratuito nel caso di malattia sopravvenuta si viene posti in Licenza straordinaria per malattia .</w:t>
            </w:r>
          </w:p>
        </w:tc>
      </w:tr>
    </w:tbl>
    <w:p w:rsidR="00E27FD7" w:rsidRDefault="00E27FD7" w:rsidP="00E27FD7">
      <w:pPr>
        <w:rPr>
          <w:rFonts w:ascii="Times New Roman" w:hAnsi="Times New Roman" w:cs="Times New Roman"/>
        </w:rPr>
      </w:pPr>
    </w:p>
    <w:p w:rsidR="00E27FD7" w:rsidRDefault="00E27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5AF3" w:rsidRDefault="00635AF3" w:rsidP="004107B5">
      <w:pPr>
        <w:rPr>
          <w:rFonts w:ascii="Times New Roman" w:hAnsi="Times New Roman" w:cs="Times New Roman"/>
        </w:rPr>
      </w:pPr>
    </w:p>
    <w:p w:rsidR="00635AF3" w:rsidRDefault="00E56B4F" w:rsidP="00635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 LAVORATIVE SVOLTE PRECEDENTEMENTE A </w:t>
      </w:r>
      <w:r w:rsidRPr="00B13FD5">
        <w:rPr>
          <w:rFonts w:ascii="Times New Roman" w:hAnsi="Times New Roman" w:cs="Times New Roman"/>
        </w:rPr>
        <w:t>MALATTIA SOPRAVVENUTA</w:t>
      </w:r>
    </w:p>
    <w:p w:rsidR="00635AF3" w:rsidRDefault="00635AF3" w:rsidP="00635AF3">
      <w:pPr>
        <w:rPr>
          <w:rFonts w:ascii="Times New Roman" w:hAnsi="Times New Roman" w:cs="Times New Roman"/>
        </w:rPr>
      </w:pPr>
    </w:p>
    <w:p w:rsidR="00635AF3" w:rsidRDefault="00635AF3" w:rsidP="00635AF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35AF3" w:rsidTr="00FC0359">
        <w:tc>
          <w:tcPr>
            <w:tcW w:w="4759" w:type="dxa"/>
          </w:tcPr>
          <w:p w:rsidR="00635AF3" w:rsidRDefault="00635AF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635AF3" w:rsidRDefault="00635AF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635AF3" w:rsidRDefault="00635AF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635AF3" w:rsidRDefault="00635AF3" w:rsidP="00635AF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35AF3" w:rsidTr="00FC0359">
        <w:tc>
          <w:tcPr>
            <w:tcW w:w="4759" w:type="dxa"/>
          </w:tcPr>
          <w:p w:rsidR="00635AF3" w:rsidRPr="007C48BA" w:rsidRDefault="00635AF3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Riferimenti:</w:t>
            </w:r>
          </w:p>
          <w:p w:rsidR="00635AF3" w:rsidRDefault="00635AF3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D.M.25 SETTEMBRE 1990, DPR 394/95, DPR 255/99, DPR 163/02, DPR 52/09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635AF3" w:rsidRPr="007C48BA" w:rsidRDefault="00635AF3" w:rsidP="00FC0359">
            <w:pPr>
              <w:rPr>
                <w:rFonts w:ascii="Times New Roman" w:hAnsi="Times New Roman" w:cs="Times New Roman"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 xml:space="preserve">disposizioni emanate da </w:t>
            </w:r>
            <w:proofErr w:type="spellStart"/>
            <w:r w:rsidRPr="007C48BA">
              <w:rPr>
                <w:rFonts w:ascii="Times New Roman" w:hAnsi="Times New Roman" w:cs="Times New Roman"/>
                <w:i/>
                <w:iCs/>
              </w:rPr>
              <w:t>Segredifesa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con direttiva anno 2003 var.4;</w:t>
            </w:r>
          </w:p>
          <w:p w:rsidR="00635AF3" w:rsidRDefault="00635AF3" w:rsidP="00FC035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759" w:type="dxa"/>
          </w:tcPr>
          <w:p w:rsidR="00635AF3" w:rsidRPr="00B13FD5" w:rsidRDefault="00635AF3" w:rsidP="00FC03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FD5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>Le ore effettivamente rese dal personale che per sopravvenuta malattia</w:t>
            </w:r>
            <w:r w:rsidR="00E56B4F">
              <w:rPr>
                <w:rFonts w:ascii="Times New Roman" w:hAnsi="Times New Roman" w:cs="Times New Roman"/>
                <w:b/>
                <w:bCs/>
              </w:rPr>
              <w:t xml:space="preserve">, nella stessa giornata, </w:t>
            </w:r>
            <w:r>
              <w:rPr>
                <w:rFonts w:ascii="Times New Roman" w:hAnsi="Times New Roman" w:cs="Times New Roman"/>
                <w:b/>
                <w:bCs/>
              </w:rPr>
              <w:t>viene posto in licenza straordinaria</w:t>
            </w:r>
            <w:r w:rsidR="00E56B4F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vanno con</w:t>
            </w:r>
            <w:r w:rsidR="00E56B4F">
              <w:rPr>
                <w:rFonts w:ascii="Times New Roman" w:hAnsi="Times New Roman" w:cs="Times New Roman"/>
                <w:b/>
                <w:bCs/>
              </w:rPr>
              <w:t>siderate come lavoro straordinario</w:t>
            </w:r>
            <w:r w:rsidR="00BF3A2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759" w:type="dxa"/>
          </w:tcPr>
          <w:p w:rsidR="00635AF3" w:rsidRPr="00B13FD5" w:rsidRDefault="00635AF3" w:rsidP="00FC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far perdere le ore effettivamente rese per sopravvenuta malattia.</w:t>
            </w:r>
          </w:p>
        </w:tc>
      </w:tr>
    </w:tbl>
    <w:p w:rsidR="00780D9B" w:rsidRDefault="00780D9B" w:rsidP="00AA3A0B">
      <w:pPr>
        <w:rPr>
          <w:rFonts w:ascii="Times New Roman" w:hAnsi="Times New Roman" w:cs="Times New Roman"/>
        </w:rPr>
      </w:pPr>
    </w:p>
    <w:p w:rsidR="00780D9B" w:rsidRDefault="0078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0D9B" w:rsidRDefault="00780D9B" w:rsidP="00780D9B">
      <w:pPr>
        <w:rPr>
          <w:rFonts w:ascii="Times New Roman" w:hAnsi="Times New Roman" w:cs="Times New Roman"/>
        </w:rPr>
      </w:pPr>
      <w:r w:rsidRPr="00780D9B">
        <w:rPr>
          <w:rFonts w:ascii="Times New Roman" w:hAnsi="Times New Roman" w:cs="Times New Roman"/>
        </w:rPr>
        <w:lastRenderedPageBreak/>
        <w:t>MODIFICA ALLE DISPOSIZIONI SUL RICONGIUNGIMENTO FAMILIARE E L'ASSEGNAZIONE TEMPORANEA PER I MILITARI A FERMA PREFISSATA QUADRIENNALE - VFP4</w:t>
      </w:r>
    </w:p>
    <w:p w:rsidR="00780D9B" w:rsidRDefault="00780D9B" w:rsidP="00780D9B">
      <w:pPr>
        <w:rPr>
          <w:rFonts w:ascii="Times New Roman" w:hAnsi="Times New Roman" w:cs="Times New Roman"/>
        </w:rPr>
      </w:pPr>
    </w:p>
    <w:p w:rsidR="00780D9B" w:rsidRDefault="00780D9B" w:rsidP="00780D9B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80D9B" w:rsidTr="00EF1E4F">
        <w:tc>
          <w:tcPr>
            <w:tcW w:w="4759" w:type="dxa"/>
          </w:tcPr>
          <w:p w:rsidR="00780D9B" w:rsidRDefault="00780D9B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Attuale </w:t>
            </w:r>
            <w:r w:rsidR="00256045">
              <w:rPr>
                <w:rFonts w:ascii="Times New Roman" w:hAnsi="Times New Roman" w:cs="Times New Roman"/>
                <w:b/>
                <w:bCs/>
              </w:rPr>
              <w:t xml:space="preserve">situazione </w:t>
            </w:r>
          </w:p>
        </w:tc>
        <w:tc>
          <w:tcPr>
            <w:tcW w:w="4759" w:type="dxa"/>
          </w:tcPr>
          <w:p w:rsidR="00780D9B" w:rsidRDefault="00780D9B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780D9B" w:rsidRDefault="00780D9B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780D9B" w:rsidRDefault="00780D9B" w:rsidP="00780D9B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80D9B" w:rsidTr="00EF1E4F">
        <w:tc>
          <w:tcPr>
            <w:tcW w:w="4759" w:type="dxa"/>
          </w:tcPr>
          <w:p w:rsidR="007A2BD3" w:rsidRPr="007A2BD3" w:rsidRDefault="007A2BD3" w:rsidP="007A2BD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Riferimenti: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2BD3">
              <w:rPr>
                <w:rFonts w:ascii="Times New Roman" w:hAnsi="Times New Roman" w:cs="Times New Roman"/>
                <w:b/>
                <w:bCs/>
                <w:i/>
                <w:iCs/>
              </w:rPr>
              <w:t>Art. 981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Dlgs.66/2010</w:t>
            </w:r>
          </w:p>
          <w:p w:rsidR="00780D9B" w:rsidRDefault="007A2BD3" w:rsidP="007A2BD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Direttive Impiego rispettive FF.AA.</w:t>
            </w:r>
          </w:p>
        </w:tc>
        <w:tc>
          <w:tcPr>
            <w:tcW w:w="4759" w:type="dxa"/>
          </w:tcPr>
          <w:p w:rsidR="00256045" w:rsidRPr="00256045" w:rsidRDefault="00780D9B" w:rsidP="00256045">
            <w:pPr>
              <w:jc w:val="both"/>
              <w:rPr>
                <w:b/>
                <w:bCs/>
              </w:rPr>
            </w:pPr>
            <w:r w:rsidRPr="00B13FD5">
              <w:rPr>
                <w:rFonts w:ascii="Times New Roman" w:hAnsi="Times New Roman" w:cs="Times New Roman"/>
                <w:b/>
                <w:bCs/>
              </w:rPr>
              <w:t>“</w:t>
            </w:r>
            <w:r w:rsidR="00256045" w:rsidRPr="00256045">
              <w:rPr>
                <w:b/>
                <w:bCs/>
              </w:rPr>
              <w:t>Articolo X (Modifica alle disposizioni sul ricongiungimento familiare e l'assegnazione temporanea per i militari a ferma prefissata quadriennale - VFP4)</w:t>
            </w:r>
          </w:p>
          <w:p w:rsidR="00256045" w:rsidRPr="00256045" w:rsidRDefault="00256045" w:rsidP="00256045">
            <w:pPr>
              <w:numPr>
                <w:ilvl w:val="0"/>
                <w:numId w:val="12"/>
              </w:numPr>
              <w:ind w:left="232" w:hanging="2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Modifica al regime di assegnazione temporanea per esigenze familiari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Al fine di favorire la conciliazione tra vita professionale e familiare per il personale militare a ferma prefissata quadriennale (VFP4), il personale coniugato o convivente, nonché coloro con figli minori, può presentare domanda di assegnazione temporanea per:</w:t>
            </w:r>
          </w:p>
          <w:p w:rsidR="00256045" w:rsidRPr="00256045" w:rsidRDefault="00256045" w:rsidP="00256045">
            <w:pPr>
              <w:numPr>
                <w:ilvl w:val="1"/>
                <w:numId w:val="12"/>
              </w:numPr>
              <w:ind w:left="516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il ricongiungimento con il coniuge o il convivente, militare o civile, e/o</w:t>
            </w:r>
          </w:p>
          <w:p w:rsidR="00256045" w:rsidRPr="00256045" w:rsidRDefault="00256045" w:rsidP="00256045">
            <w:pPr>
              <w:numPr>
                <w:ilvl w:val="1"/>
                <w:numId w:val="12"/>
              </w:numPr>
              <w:ind w:left="51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la cura e l'assistenza di figli minori, specialmente entro il terzo anno di vita del minore.</w:t>
            </w:r>
          </w:p>
          <w:p w:rsidR="00256045" w:rsidRPr="00256045" w:rsidRDefault="00256045" w:rsidP="002560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Tale diritto può essere esercitato indipendentemente dalla durata del servizio già prestato, derogando al limite attuale dei quattro anni di servizio.</w:t>
            </w:r>
          </w:p>
          <w:p w:rsidR="00256045" w:rsidRPr="00256045" w:rsidRDefault="00256045" w:rsidP="00256045">
            <w:pPr>
              <w:numPr>
                <w:ilvl w:val="0"/>
                <w:numId w:val="12"/>
              </w:numPr>
              <w:ind w:left="37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Condizioni e priorità per l'assegnazione temporanea:</w:t>
            </w:r>
          </w:p>
          <w:p w:rsidR="00256045" w:rsidRPr="00256045" w:rsidRDefault="00256045" w:rsidP="00256045">
            <w:pPr>
              <w:numPr>
                <w:ilvl w:val="1"/>
                <w:numId w:val="12"/>
              </w:numPr>
              <w:ind w:left="658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La domanda può essere presentata dal momento in cui si verificano le esigenze familiari (es. nascita di un figlio o trasferimento del coniuge).</w:t>
            </w:r>
          </w:p>
          <w:p w:rsidR="00256045" w:rsidRPr="00256045" w:rsidRDefault="00256045" w:rsidP="00256045">
            <w:pPr>
              <w:numPr>
                <w:ilvl w:val="1"/>
                <w:numId w:val="12"/>
              </w:numPr>
              <w:ind w:left="79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lastRenderedPageBreak/>
              <w:t>L’amministrazione militare valuta la richiesta, compatibilmente con le esigenze operative e organizzative, garantendo priorità in caso di: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a) nascita o adozione di un figlio;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b) figli con disabilità o particolari necessità;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c) coniuge assegnato a una sede distante oltre 100 km dalla residenza del richiedente.</w:t>
            </w:r>
          </w:p>
          <w:p w:rsidR="00256045" w:rsidRPr="00256045" w:rsidRDefault="00256045" w:rsidP="00256045">
            <w:pPr>
              <w:numPr>
                <w:ilvl w:val="0"/>
                <w:numId w:val="12"/>
              </w:numPr>
              <w:ind w:left="232" w:hanging="2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Durata dell'assegnazione temporanea: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L'assegnazione temporanea concessa per esigenze familiari ha una durata che non può superare i limiti temporali della ferma prefissata del personale richiedente. In caso di eventuale transizione a un servizio permanente, il personale potrà richiedere l'estensione del beneficio secondo le norme applicabili al personale a tempo indeterminato.</w:t>
            </w:r>
          </w:p>
          <w:p w:rsidR="00256045" w:rsidRPr="00256045" w:rsidRDefault="00256045" w:rsidP="00256045">
            <w:pPr>
              <w:numPr>
                <w:ilvl w:val="0"/>
                <w:numId w:val="12"/>
              </w:numPr>
              <w:ind w:left="232" w:hanging="2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Estensione della mobilità temporanea ai VFP4: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>Le disposizioni del presente articolo si applicano integralmente anche al personale a ferma prefissata quadriennale (VFP4), a prescindere dal periodo di servizio già maturato.</w:t>
            </w:r>
          </w:p>
          <w:p w:rsidR="00780D9B" w:rsidRPr="00256045" w:rsidRDefault="00256045" w:rsidP="00256045">
            <w:pPr>
              <w:numPr>
                <w:ilvl w:val="0"/>
                <w:numId w:val="12"/>
              </w:numPr>
              <w:tabs>
                <w:tab w:val="clear" w:pos="720"/>
              </w:tabs>
              <w:ind w:left="374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45">
              <w:rPr>
                <w:rFonts w:ascii="Times New Roman" w:hAnsi="Times New Roman" w:cs="Times New Roman"/>
                <w:b/>
                <w:bCs/>
              </w:rPr>
              <w:t>Garanzia di non discriminazione:</w:t>
            </w:r>
            <w:r w:rsidRPr="00256045">
              <w:rPr>
                <w:rFonts w:ascii="Times New Roman" w:hAnsi="Times New Roman" w:cs="Times New Roman"/>
                <w:b/>
                <w:bCs/>
              </w:rPr>
              <w:br/>
              <w:t xml:space="preserve">È fatto obbligo alle amministrazioni militari di applicare i principi di non discriminazione e parità di trattamento tra personale a tempo determinato (VFP4) e personale a tempo indeterminato, per le richieste di </w:t>
            </w:r>
            <w:r w:rsidRPr="00256045">
              <w:rPr>
                <w:rFonts w:ascii="Times New Roman" w:hAnsi="Times New Roman" w:cs="Times New Roman"/>
                <w:b/>
                <w:bCs/>
              </w:rPr>
              <w:lastRenderedPageBreak/>
              <w:t>assegnazione temporanea a fini familiari.</w:t>
            </w:r>
            <w:r w:rsidR="00780D9B" w:rsidRPr="00256045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759" w:type="dxa"/>
          </w:tcPr>
          <w:p w:rsidR="00256045" w:rsidRPr="00256045" w:rsidRDefault="00256045" w:rsidP="00256045">
            <w:pPr>
              <w:jc w:val="both"/>
              <w:rPr>
                <w:rFonts w:ascii="Times New Roman" w:hAnsi="Times New Roman" w:cs="Times New Roman"/>
              </w:rPr>
            </w:pPr>
            <w:r w:rsidRPr="00256045">
              <w:rPr>
                <w:rFonts w:ascii="Times New Roman" w:hAnsi="Times New Roman" w:cs="Times New Roman"/>
              </w:rPr>
              <w:lastRenderedPageBreak/>
              <w:t>Garantire una maggiore tutela per i militari a ferma prefissata che affrontano le stesse difficoltà familiari del personale a tempo indeterminato.</w:t>
            </w:r>
          </w:p>
          <w:p w:rsidR="00780D9B" w:rsidRPr="00B13FD5" w:rsidRDefault="00256045" w:rsidP="00256045">
            <w:pPr>
              <w:jc w:val="both"/>
              <w:rPr>
                <w:rFonts w:ascii="Times New Roman" w:hAnsi="Times New Roman" w:cs="Times New Roman"/>
              </w:rPr>
            </w:pPr>
            <w:r w:rsidRPr="00256045">
              <w:rPr>
                <w:rFonts w:ascii="Times New Roman" w:hAnsi="Times New Roman" w:cs="Times New Roman"/>
              </w:rPr>
              <w:t>Promuovere un ambiente lavorativo inclusivo e rispettoso delle esigenze familiari, in linea con i principi costituzionali di protezione della famiglia e tutela della maternità e paternità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0D9B" w:rsidRDefault="00780D9B" w:rsidP="00780D9B">
      <w:pPr>
        <w:rPr>
          <w:rFonts w:ascii="Times New Roman" w:hAnsi="Times New Roman" w:cs="Times New Roman"/>
        </w:rPr>
      </w:pPr>
    </w:p>
    <w:p w:rsidR="00780D9B" w:rsidRDefault="00780D9B" w:rsidP="0078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4F4E" w:rsidRDefault="00DA4F4E" w:rsidP="00DA4F4E">
      <w:pPr>
        <w:rPr>
          <w:rFonts w:ascii="Times New Roman" w:hAnsi="Times New Roman" w:cs="Times New Roman"/>
        </w:rPr>
      </w:pPr>
      <w:r w:rsidRPr="00DA4F4E">
        <w:rPr>
          <w:rFonts w:ascii="Times New Roman" w:hAnsi="Times New Roman" w:cs="Times New Roman"/>
        </w:rPr>
        <w:lastRenderedPageBreak/>
        <w:t>MODIFICHE ALLA DISCIPLINA SUI TRASFERIMENTI PER ESIGENZE FAMILIARI DEL PERSONALE MILITARE</w:t>
      </w:r>
    </w:p>
    <w:p w:rsidR="00DA4F4E" w:rsidRDefault="00DA4F4E" w:rsidP="00DA4F4E">
      <w:pPr>
        <w:rPr>
          <w:rFonts w:ascii="Times New Roman" w:hAnsi="Times New Roman" w:cs="Times New Roman"/>
        </w:rPr>
      </w:pPr>
    </w:p>
    <w:p w:rsidR="00DA4F4E" w:rsidRDefault="00DA4F4E" w:rsidP="00DA4F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A4F4E" w:rsidTr="00EF1E4F">
        <w:tc>
          <w:tcPr>
            <w:tcW w:w="4759" w:type="dxa"/>
          </w:tcPr>
          <w:p w:rsidR="00DA4F4E" w:rsidRDefault="00DA4F4E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Attuale formulazione</w:t>
            </w:r>
          </w:p>
        </w:tc>
        <w:tc>
          <w:tcPr>
            <w:tcW w:w="4759" w:type="dxa"/>
          </w:tcPr>
          <w:p w:rsidR="00DA4F4E" w:rsidRDefault="00DA4F4E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Novellato</w:t>
            </w:r>
          </w:p>
        </w:tc>
        <w:tc>
          <w:tcPr>
            <w:tcW w:w="4759" w:type="dxa"/>
          </w:tcPr>
          <w:p w:rsidR="00DA4F4E" w:rsidRDefault="00DA4F4E" w:rsidP="00EF1E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Razionale</w:t>
            </w:r>
          </w:p>
        </w:tc>
      </w:tr>
    </w:tbl>
    <w:p w:rsidR="00DA4F4E" w:rsidRDefault="00DA4F4E" w:rsidP="00DA4F4E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5"/>
        <w:gridCol w:w="5388"/>
        <w:gridCol w:w="4444"/>
      </w:tblGrid>
      <w:tr w:rsidR="00DA4F4E" w:rsidTr="00EF1E4F">
        <w:tc>
          <w:tcPr>
            <w:tcW w:w="4759" w:type="dxa"/>
          </w:tcPr>
          <w:p w:rsidR="007A2BD3" w:rsidRPr="007A2BD3" w:rsidRDefault="00DA4F4E" w:rsidP="007A2BD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48BA">
              <w:rPr>
                <w:rFonts w:ascii="Times New Roman" w:hAnsi="Times New Roman" w:cs="Times New Roman"/>
                <w:i/>
                <w:iCs/>
              </w:rPr>
              <w:t>Riferimenti:</w:t>
            </w:r>
            <w:r w:rsidR="007A2B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A2BD3" w:rsidRPr="007A2BD3">
              <w:rPr>
                <w:rFonts w:ascii="Times New Roman" w:hAnsi="Times New Roman" w:cs="Times New Roman"/>
                <w:b/>
                <w:bCs/>
                <w:i/>
                <w:iCs/>
              </w:rPr>
              <w:t>Art. 981</w:t>
            </w:r>
            <w:r w:rsidR="007A2B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Dlgs.66/2010</w:t>
            </w:r>
          </w:p>
          <w:p w:rsidR="00DA4F4E" w:rsidRPr="00DA4F4E" w:rsidRDefault="00C558D1" w:rsidP="00DA4F4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Direttive Impiego rispettive FF.AA.</w:t>
            </w:r>
          </w:p>
        </w:tc>
        <w:tc>
          <w:tcPr>
            <w:tcW w:w="47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06"/>
              <w:gridCol w:w="907"/>
              <w:gridCol w:w="907"/>
              <w:gridCol w:w="907"/>
            </w:tblGrid>
            <w:tr w:rsidR="00AD32C9" w:rsidTr="00AD32C9">
              <w:tc>
                <w:tcPr>
                  <w:tcW w:w="906" w:type="dxa"/>
                </w:tcPr>
                <w:p w:rsidR="00AD32C9" w:rsidRDefault="00AD32C9" w:rsidP="00DA4F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6" w:type="dxa"/>
                </w:tcPr>
                <w:p w:rsidR="00AD32C9" w:rsidRDefault="00AD32C9" w:rsidP="00DA4F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7" w:type="dxa"/>
                </w:tcPr>
                <w:p w:rsidR="00AD32C9" w:rsidRDefault="00AD32C9" w:rsidP="00DA4F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7" w:type="dxa"/>
                </w:tcPr>
                <w:p w:rsidR="00AD32C9" w:rsidRDefault="00AD32C9" w:rsidP="00DA4F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07" w:type="dxa"/>
                </w:tcPr>
                <w:p w:rsidR="00AD32C9" w:rsidRDefault="00AD32C9" w:rsidP="00DA4F4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DA4F4E" w:rsidRPr="00DA4F4E" w:rsidRDefault="00DA4F4E" w:rsidP="00DA4F4E">
            <w:pPr>
              <w:jc w:val="both"/>
              <w:rPr>
                <w:b/>
                <w:bCs/>
              </w:rPr>
            </w:pPr>
            <w:r w:rsidRPr="00B13FD5">
              <w:rPr>
                <w:rFonts w:ascii="Times New Roman" w:hAnsi="Times New Roman" w:cs="Times New Roman"/>
                <w:b/>
                <w:bCs/>
              </w:rPr>
              <w:t>“</w:t>
            </w:r>
            <w:r w:rsidRPr="00DA4F4E">
              <w:rPr>
                <w:b/>
                <w:bCs/>
              </w:rPr>
              <w:t>Articolo X (Modifiche alla disciplina sui trasferimenti per esigenze familiari del personale militare)</w:t>
            </w:r>
          </w:p>
          <w:p w:rsidR="00DA4F4E" w:rsidRPr="00DA4F4E" w:rsidRDefault="00DA4F4E" w:rsidP="00DA4F4E">
            <w:p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</w:rPr>
              <w:t>1</w:t>
            </w:r>
            <w:r w:rsidRPr="00DA4F4E">
              <w:rPr>
                <w:rFonts w:ascii="Times New Roman" w:hAnsi="Times New Roman" w:cs="Times New Roman"/>
                <w:b/>
                <w:bCs/>
              </w:rPr>
              <w:t>. Modifica del regime di trasferimento temporaneo per ricongiungimento familiare</w:t>
            </w:r>
            <w:r w:rsidRPr="00DA4F4E">
              <w:rPr>
                <w:rFonts w:ascii="Times New Roman" w:hAnsi="Times New Roman" w:cs="Times New Roman"/>
              </w:rPr>
              <w:br/>
              <w:t>1.1. Al fine di garantire il rispetto dei diritti fondamentali della famiglia e della tutela della genitorialità, come stabiliti dagli articoli 29, 30 e 31 della Costituzione, si dispone che il personale militare, inclusi i volontari in ferma prefissata (VFP1 e VFP4), possa presentare domanda di assegnazione temporanea o trasferimento per esigenze familiari, senza vincoli relativi all’anzianità di servizio.</w:t>
            </w:r>
          </w:p>
          <w:p w:rsidR="00DA4F4E" w:rsidRDefault="00DA4F4E" w:rsidP="00DA4F4E">
            <w:p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</w:rPr>
              <w:t>1.2. Le richieste di trasferimento temporaneo per il ricongiungimento con il coniuge o per l’assistenza e la cura di figli minori devono essere presentate al verificarsi dell’esigenza familiare e sono prioritarie, salvo casi di comprovate necessità operative.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4F4E" w:rsidRPr="00DA4F4E" w:rsidRDefault="00DA4F4E" w:rsidP="00DA4F4E">
            <w:p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  <w:b/>
                <w:bCs/>
              </w:rPr>
              <w:t>2. Definizione delle esigenze familiari prioritarie</w:t>
            </w:r>
            <w:r w:rsidRPr="00DA4F4E">
              <w:rPr>
                <w:rFonts w:ascii="Times New Roman" w:hAnsi="Times New Roman" w:cs="Times New Roman"/>
              </w:rPr>
              <w:br/>
              <w:t>2.1. Le richieste di trasferimento temporaneo o ricongiungimento sono prioritariamente concesse nei seguenti casi:</w:t>
            </w:r>
          </w:p>
          <w:p w:rsidR="00DA4F4E" w:rsidRPr="00DA4F4E" w:rsidRDefault="00DA4F4E" w:rsidP="00DA4F4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  <w:b/>
                <w:bCs/>
              </w:rPr>
              <w:t>Nascita o adozione di un figlio</w:t>
            </w:r>
            <w:r w:rsidRPr="00DA4F4E">
              <w:rPr>
                <w:rFonts w:ascii="Times New Roman" w:hAnsi="Times New Roman" w:cs="Times New Roman"/>
              </w:rPr>
              <w:t>, con particolare attenzione ai primi tre anni di vita del minore.</w:t>
            </w:r>
          </w:p>
          <w:p w:rsidR="00DA4F4E" w:rsidRPr="00DA4F4E" w:rsidRDefault="00DA4F4E" w:rsidP="00DA4F4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</w:rPr>
              <w:t xml:space="preserve">Presenza di </w:t>
            </w:r>
            <w:r w:rsidRPr="00DA4F4E">
              <w:rPr>
                <w:rFonts w:ascii="Times New Roman" w:hAnsi="Times New Roman" w:cs="Times New Roman"/>
                <w:b/>
                <w:bCs/>
              </w:rPr>
              <w:t>figli minori con disabilità</w:t>
            </w:r>
            <w:r w:rsidRPr="00DA4F4E">
              <w:rPr>
                <w:rFonts w:ascii="Times New Roman" w:hAnsi="Times New Roman" w:cs="Times New Roman"/>
              </w:rPr>
              <w:t xml:space="preserve"> o necessità assistenziali documentate.</w:t>
            </w:r>
          </w:p>
          <w:p w:rsidR="00DA4F4E" w:rsidRDefault="00DA4F4E" w:rsidP="00DA4F4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DA4F4E">
              <w:rPr>
                <w:rFonts w:ascii="Times New Roman" w:hAnsi="Times New Roman" w:cs="Times New Roman"/>
                <w:b/>
                <w:bCs/>
              </w:rPr>
              <w:lastRenderedPageBreak/>
              <w:t>Ricongiungimento con il coniuge o convivente</w:t>
            </w:r>
            <w:r w:rsidRPr="00DA4F4E">
              <w:rPr>
                <w:rFonts w:ascii="Times New Roman" w:hAnsi="Times New Roman" w:cs="Times New Roman"/>
              </w:rPr>
              <w:t xml:space="preserve"> che svolga attività lavorativa a una distanza superiore a </w:t>
            </w:r>
            <w:r w:rsidRPr="00DA4F4E">
              <w:rPr>
                <w:rFonts w:ascii="Times New Roman" w:hAnsi="Times New Roman" w:cs="Times New Roman"/>
                <w:b/>
                <w:bCs/>
              </w:rPr>
              <w:t>100 chilometri</w:t>
            </w:r>
            <w:r w:rsidRPr="00DA4F4E">
              <w:rPr>
                <w:rFonts w:ascii="Times New Roman" w:hAnsi="Times New Roman" w:cs="Times New Roman"/>
              </w:rPr>
              <w:t> dalla sede del richiedente.</w:t>
            </w:r>
          </w:p>
          <w:p w:rsidR="00DA4F4E" w:rsidRPr="00C558D1" w:rsidRDefault="00C558D1" w:rsidP="00EF1E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558D1">
              <w:rPr>
                <w:rFonts w:ascii="Times New Roman" w:hAnsi="Times New Roman" w:cs="Times New Roman"/>
                <w:b/>
                <w:bCs/>
              </w:rPr>
              <w:t>. Prevalenza della normativa primaria</w:t>
            </w:r>
            <w:r w:rsidRPr="00C558D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  <w:r w:rsidRPr="00C558D1">
              <w:rPr>
                <w:rFonts w:ascii="Times New Roman" w:hAnsi="Times New Roman" w:cs="Times New Roman"/>
              </w:rPr>
              <w:t>.1. Eventuali disposizioni regolamentari o direttive amministrative in contrasto con quanto previsto dal presente articolo sono da considerarsi nulle nella parte in cui limitano o subordinano il diritto al ricongiungimento familiare a requisiti non previsti dalla legge.</w:t>
            </w:r>
            <w:r w:rsidR="00DA4F4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4759" w:type="dxa"/>
          </w:tcPr>
          <w:p w:rsidR="00C558D1" w:rsidRPr="00C558D1" w:rsidRDefault="00C558D1" w:rsidP="00C558D1">
            <w:pPr>
              <w:jc w:val="both"/>
              <w:rPr>
                <w:rFonts w:ascii="Times New Roman" w:hAnsi="Times New Roman" w:cs="Times New Roman"/>
              </w:rPr>
            </w:pPr>
            <w:r w:rsidRPr="00C558D1">
              <w:rPr>
                <w:rFonts w:ascii="Times New Roman" w:hAnsi="Times New Roman" w:cs="Times New Roman"/>
                <w:b/>
                <w:bCs/>
              </w:rPr>
              <w:lastRenderedPageBreak/>
              <w:t>Finalità della norma</w:t>
            </w:r>
            <w:r w:rsidRPr="00C558D1">
              <w:rPr>
                <w:rFonts w:ascii="Times New Roman" w:hAnsi="Times New Roman" w:cs="Times New Roman"/>
              </w:rPr>
              <w:br/>
              <w:t>La presente modifica ha l'obiettivo di:</w:t>
            </w:r>
          </w:p>
          <w:p w:rsidR="00C558D1" w:rsidRPr="00C558D1" w:rsidRDefault="00C558D1" w:rsidP="00C558D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558D1">
              <w:rPr>
                <w:rFonts w:ascii="Times New Roman" w:hAnsi="Times New Roman" w:cs="Times New Roman"/>
              </w:rPr>
              <w:t>Eliminare vincoli amministrativi ingiustificati che limitano il diritto al ricongiungimento familiare.</w:t>
            </w:r>
          </w:p>
          <w:p w:rsidR="00C558D1" w:rsidRPr="00C558D1" w:rsidRDefault="00C558D1" w:rsidP="00C558D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558D1">
              <w:rPr>
                <w:rFonts w:ascii="Times New Roman" w:hAnsi="Times New Roman" w:cs="Times New Roman"/>
              </w:rPr>
              <w:t>Rafforzare le tutele costituzionali nei confronti della famiglia e della genitorialità.</w:t>
            </w:r>
          </w:p>
          <w:p w:rsidR="00C558D1" w:rsidRPr="00C558D1" w:rsidRDefault="00C558D1" w:rsidP="00C558D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C558D1">
              <w:rPr>
                <w:rFonts w:ascii="Times New Roman" w:hAnsi="Times New Roman" w:cs="Times New Roman"/>
              </w:rPr>
              <w:t>Assicurare una gestione del personale militare più equa e rispettosa delle esigenze personali.</w:t>
            </w:r>
          </w:p>
          <w:p w:rsidR="00C558D1" w:rsidRPr="00C558D1" w:rsidRDefault="00C558D1" w:rsidP="00C558D1">
            <w:pPr>
              <w:jc w:val="both"/>
              <w:rPr>
                <w:rFonts w:ascii="Times New Roman" w:hAnsi="Times New Roman" w:cs="Times New Roman"/>
              </w:rPr>
            </w:pPr>
            <w:r w:rsidRPr="00C558D1">
              <w:rPr>
                <w:rFonts w:ascii="Times New Roman" w:hAnsi="Times New Roman" w:cs="Times New Roman"/>
              </w:rPr>
              <w:t>Questa norma consentirebbe di superare le restrizioni introdotte da regolamenti di rango inferiore, uniformandosi ai principi costituzionali e legislativi nazionali.</w:t>
            </w:r>
          </w:p>
          <w:p w:rsidR="00DA4F4E" w:rsidRPr="00B13FD5" w:rsidRDefault="00DA4F4E" w:rsidP="00EF1E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785" w:rsidRPr="00AA4785" w:rsidTr="00AD32C9">
        <w:tc>
          <w:tcPr>
            <w:tcW w:w="4759" w:type="dxa"/>
          </w:tcPr>
          <w:p w:rsidR="00AA4785" w:rsidRPr="00AA4785" w:rsidRDefault="00AA4785" w:rsidP="00AA4785">
            <w:pPr>
              <w:rPr>
                <w:b/>
              </w:rPr>
            </w:pPr>
            <w:r w:rsidRPr="00AA4785">
              <w:rPr>
                <w:b/>
              </w:rPr>
              <w:lastRenderedPageBreak/>
              <w:t>Attuale formulazione</w:t>
            </w:r>
          </w:p>
        </w:tc>
        <w:tc>
          <w:tcPr>
            <w:tcW w:w="4759" w:type="dxa"/>
          </w:tcPr>
          <w:p w:rsidR="00AA4785" w:rsidRPr="00AA4785" w:rsidRDefault="00AA4785" w:rsidP="00AA4785">
            <w:pPr>
              <w:rPr>
                <w:b/>
              </w:rPr>
            </w:pPr>
            <w:r w:rsidRPr="00AA4785">
              <w:rPr>
                <w:b/>
              </w:rPr>
              <w:t>Novellato</w:t>
            </w:r>
          </w:p>
        </w:tc>
        <w:tc>
          <w:tcPr>
            <w:tcW w:w="4759" w:type="dxa"/>
          </w:tcPr>
          <w:p w:rsidR="00AA4785" w:rsidRPr="00AA4785" w:rsidRDefault="00AA4785" w:rsidP="00AA4785">
            <w:pPr>
              <w:rPr>
                <w:b/>
              </w:rPr>
            </w:pPr>
            <w:r w:rsidRPr="00AA4785">
              <w:rPr>
                <w:b/>
              </w:rPr>
              <w:t>Razionale</w:t>
            </w:r>
          </w:p>
        </w:tc>
      </w:tr>
      <w:tr w:rsidR="00AA4785" w:rsidTr="00AD32C9">
        <w:tc>
          <w:tcPr>
            <w:tcW w:w="4759" w:type="dxa"/>
          </w:tcPr>
          <w:p w:rsidR="00AA4785" w:rsidRDefault="00AA4785" w:rsidP="00AA4785">
            <w:r>
              <w:t>Art. 2251-quater</w:t>
            </w:r>
          </w:p>
          <w:p w:rsidR="00AA4785" w:rsidRDefault="00AA4785" w:rsidP="00AA4785">
            <w:r>
              <w:t>(Disposizioni transitorie per l’attribuzione della qualifica di primo luogotenente ai luogotenenti dell’Esercito italiano, della Marina militare e dell’Aeronautica militare)</w:t>
            </w:r>
          </w:p>
          <w:p w:rsidR="00AA4785" w:rsidRDefault="00AA4785" w:rsidP="00AA4785">
            <w:r>
              <w:t>1.</w:t>
            </w:r>
            <w:r>
              <w:tab/>
              <w:t>Il personale che ha assunto il grado di luogotenente, ai sensi dell’articolo 2251-ter, comma 1, e non si trovi nelle condizioni di cui all’articolo 1051 è inserito in una aliquota straordinaria al 1° ottobre 2017. L’attribuzione della qualifica di primo luogotenente ha decorrenza 1° ottobre 2017.</w:t>
            </w:r>
          </w:p>
          <w:p w:rsidR="00AA4785" w:rsidRDefault="00AA4785" w:rsidP="00AA4785">
            <w:r>
              <w:t>2.</w:t>
            </w:r>
            <w:r>
              <w:tab/>
              <w:t>Al personale promosso al grado di luogotenente ai sensi dell’art. 2251-ter, ((commi 2, 3 e 3-bis)), ai fini dell’attribuzione della qualifica di primo luogotenente, fermi restando gli altri requisiti, sono richiesti i periodi di permanenza minima nel grado di seguito indicati:</w:t>
            </w:r>
          </w:p>
          <w:p w:rsidR="00AA4785" w:rsidRDefault="00AA4785" w:rsidP="00AA4785">
            <w:r>
              <w:lastRenderedPageBreak/>
              <w:t>a)</w:t>
            </w:r>
            <w:r>
              <w:tab/>
              <w:t>un anno, per il personale che rivestiva il grado di primo maresciallo non oltre il 2006;</w:t>
            </w:r>
          </w:p>
          <w:p w:rsidR="00AA4785" w:rsidRDefault="00AA4785" w:rsidP="00AA4785">
            <w:r>
              <w:t>b)</w:t>
            </w:r>
            <w:r>
              <w:tab/>
              <w:t>due anni, per il personale che rivestiva il grado di primo maresciallo dal 1° gennaio 2007 al 31 dicembre 2007;</w:t>
            </w:r>
          </w:p>
          <w:p w:rsidR="00AA4785" w:rsidRDefault="00AA4785" w:rsidP="00AA4785">
            <w:r>
              <w:t>c)</w:t>
            </w:r>
            <w:r>
              <w:tab/>
              <w:t>tre anni, per il personale che rivestiva il grado di primo maresciallo dal 1° gennaio 2008 al ((31 dicembre 2009)).</w:t>
            </w:r>
          </w:p>
          <w:p w:rsidR="00AA4785" w:rsidRDefault="00AA4785" w:rsidP="00AA4785">
            <w:r>
              <w:t>((c-bis) due anni, per i luogotenenti con anzianità di grado compresa tra il 1° gennaio 2018 e il 31 dicembre 2018;</w:t>
            </w:r>
          </w:p>
          <w:p w:rsidR="00AA4785" w:rsidRDefault="00AA4785" w:rsidP="00AA4785">
            <w:r>
              <w:t>c-ter) un anno, per i luogotenenti con anzianità di grado compresa tra il 1° gennaio 2019 e il 31 dicembre 2019;</w:t>
            </w:r>
          </w:p>
          <w:p w:rsidR="00AA4785" w:rsidRDefault="00AA4785" w:rsidP="00AA4785">
            <w:r>
              <w:t>c-quater) un anno, per i luogotenenti con anzianità di grado compresa tra il 1° gennaio 2020 e il 31 dicembre 2020, di cui all’articolo 2251-ter, comma 3-ter, lettera a);</w:t>
            </w:r>
          </w:p>
          <w:p w:rsidR="00A8508A" w:rsidRDefault="00A8508A" w:rsidP="00A8508A">
            <w:r>
              <w:t>c-</w:t>
            </w:r>
            <w:proofErr w:type="spellStart"/>
            <w:r>
              <w:t>quinquies</w:t>
            </w:r>
            <w:proofErr w:type="spellEnd"/>
            <w:r>
              <w:t>) due anni, per i luogotenenti con anzianità di grado compresa tra il 1° gennaio 2020 e il 31 dicembre 2020, di cui all’articolo 2251-ter, comma 3-ter, lettera b);</w:t>
            </w:r>
          </w:p>
          <w:p w:rsidR="00A8508A" w:rsidRDefault="00A8508A" w:rsidP="00A8508A">
            <w:r>
              <w:t>c-</w:t>
            </w:r>
            <w:proofErr w:type="spellStart"/>
            <w:r>
              <w:t>sexies</w:t>
            </w:r>
            <w:proofErr w:type="spellEnd"/>
            <w:r>
              <w:t>) tre anni, per i luogotenenti con anzianità di grado compresa tra il 1° gennaio 2020 e il 31 dicembre 2020, di cui all’articolo 2251-ter, comma 3-ter, lettera c);</w:t>
            </w:r>
          </w:p>
          <w:p w:rsidR="00A8508A" w:rsidRDefault="00A8508A" w:rsidP="00A8508A">
            <w:r>
              <w:t>c-</w:t>
            </w:r>
            <w:proofErr w:type="spellStart"/>
            <w:r>
              <w:t>septies</w:t>
            </w:r>
            <w:proofErr w:type="spellEnd"/>
            <w:r>
              <w:t xml:space="preserve">) quattro anni, per i luogotenenti con anzianità di grado compresa tra il 1° </w:t>
            </w:r>
            <w:r>
              <w:lastRenderedPageBreak/>
              <w:t>gennaio 2020 e il 31 dicembre 2020, di cui all’articolo 2251-ter, comma 3-ter, lettera d);</w:t>
            </w:r>
          </w:p>
          <w:p w:rsidR="00A8508A" w:rsidRDefault="00A8508A" w:rsidP="00A8508A">
            <w:r>
              <w:t>c-</w:t>
            </w:r>
            <w:proofErr w:type="spellStart"/>
            <w:r>
              <w:t>octies</w:t>
            </w:r>
            <w:proofErr w:type="spellEnd"/>
            <w:r>
              <w:t>) cinque anni, per i luogotenenti con anzianità di grado compresa tra il 1° gennaio 2020 e il 31 dicembre 2020, di cui all’articolo 2251-ter, comma 3-ter, lettera e);</w:t>
            </w:r>
          </w:p>
          <w:p w:rsidR="00A8508A" w:rsidRDefault="00A8508A" w:rsidP="00A8508A">
            <w:r>
              <w:t>c-</w:t>
            </w:r>
            <w:proofErr w:type="spellStart"/>
            <w:r>
              <w:t>nonies</w:t>
            </w:r>
            <w:proofErr w:type="spellEnd"/>
            <w:r>
              <w:t>) sei anni, per i luogotenenti con anzianità di grado compresa tra il 1° gennaio 2020 e il 31 dicembre 2020, di cui all’articolo 2251-ter, comma 3-ter, lettera f);</w:t>
            </w:r>
          </w:p>
          <w:p w:rsidR="00A8508A" w:rsidRDefault="00A8508A" w:rsidP="00A8508A">
            <w:r>
              <w:t>c-</w:t>
            </w:r>
            <w:proofErr w:type="spellStart"/>
            <w:r>
              <w:t>decies</w:t>
            </w:r>
            <w:proofErr w:type="spellEnd"/>
            <w:r>
              <w:t>) sei anni, per i luogotenenti con anzianità di grado compresa tra il 1° gennaio 2021 e il 31 dicembre 2021, di cui all’articolo 2251-ter, comma 3-bis, lettera g).))</w:t>
            </w:r>
          </w:p>
          <w:p w:rsidR="00A8508A" w:rsidRDefault="00A8508A" w:rsidP="00A8508A">
            <w:r>
              <w:t>((2-bis. Per le qualifiche da attribuire dal 2019 al 2027, in deroga alle disposizioni di cui all’articolo 1323, comma 1, i luogotenenti con anzianità di grado 1° gennaio a cui attribuire la qualifica di primo luogotenente sono inclusi in una aliquota formata al 31 dicembre dell’anno solare precedente alla maturazione del requisito minimo di anzianità stabilito dal comma 2.</w:t>
            </w:r>
          </w:p>
          <w:p w:rsidR="00A8508A" w:rsidRDefault="00A8508A" w:rsidP="00A8508A"/>
          <w:p w:rsidR="00A8508A" w:rsidRDefault="00A8508A" w:rsidP="00A8508A"/>
          <w:p w:rsidR="00A8508A" w:rsidRDefault="00A8508A" w:rsidP="00A8508A">
            <w:r>
              <w:t xml:space="preserve">2-ter. Ai luogotenenti esclusi dalle aliquote di cui ai commi 1, 2 e 2-bis per i motivi di cui all’articolo 1051, si applicano, in quanto </w:t>
            </w:r>
            <w:r>
              <w:lastRenderedPageBreak/>
              <w:t>compatibili, le disposizioni di cui al capo V del titolo VII, in materia di rinnovazione dei giudizi di avanzamento.</w:t>
            </w:r>
          </w:p>
          <w:p w:rsidR="00A8508A" w:rsidRDefault="00A8508A" w:rsidP="00A8508A">
            <w:r>
              <w:t>2-quater. I luogotenenti esclusi dalle aliquote cui ai commi 1, 2 e 2-bis per mancanza dei</w:t>
            </w:r>
          </w:p>
          <w:p w:rsidR="00AA4785" w:rsidRDefault="00A8508A" w:rsidP="00A8508A">
            <w:r>
              <w:t>requisiti di cui all’articolo 1323, comma 1, lettere c) e d), sono inseriti nella prima aliquota</w:t>
            </w:r>
          </w:p>
          <w:p w:rsidR="00A8508A" w:rsidRDefault="00A8508A" w:rsidP="00A8508A">
            <w:r>
              <w:t>successiva alla data di maturazione di tali requisiti e la qualifica speciale è conferita a decorrere dal giorno successivo a tale data.</w:t>
            </w:r>
          </w:p>
          <w:p w:rsidR="00A8508A" w:rsidRDefault="00A8508A" w:rsidP="00A8508A">
            <w:r>
              <w:t>2-quinquies. Per l’anno 2020 la decorrenza della qualifica di primo luogotenente e l’ordine di iscrizione in ruolo sono così disciplinati:</w:t>
            </w:r>
          </w:p>
          <w:p w:rsidR="00A8508A" w:rsidRDefault="00A8508A" w:rsidP="00A8508A">
            <w:r>
              <w:t>a)</w:t>
            </w:r>
            <w:r>
              <w:tab/>
              <w:t>1° gennaio 2020, luogotenenti con anzianità di grado dal 1° gennaio 2017 al 31 dicembre 2017, precedentemente primi marescialli con anzianità 2008;</w:t>
            </w:r>
          </w:p>
          <w:p w:rsidR="00A8508A" w:rsidRDefault="00A8508A" w:rsidP="00A8508A">
            <w:r>
              <w:t>b)</w:t>
            </w:r>
            <w:r>
              <w:tab/>
              <w:t>2 gennaio 2020, luogotenenti con anzianità di grado dal 1° gennaio 2017 al 31 dicembre 2017, precedentemente primi marescialli con anzianità 2009;</w:t>
            </w:r>
          </w:p>
          <w:p w:rsidR="00A8508A" w:rsidRDefault="00A8508A" w:rsidP="00A8508A">
            <w:r>
              <w:t>c)</w:t>
            </w:r>
            <w:r>
              <w:tab/>
              <w:t>3 gennaio 2020, luogotenenti con anzianità di grado dal 1° gennaio 2018 al 31 dicembre 2018, precedentemente primi marescialli con anzianità 2010;</w:t>
            </w:r>
          </w:p>
          <w:p w:rsidR="00A8508A" w:rsidRDefault="00A8508A" w:rsidP="00A8508A">
            <w:r>
              <w:t>d)</w:t>
            </w:r>
            <w:r>
              <w:tab/>
              <w:t>4 gennaio 2020, luogotenenti con anzianità di grado dal 1° gennaio 2019 al 31 dicembre 2019, precedentemente primi marescialli con anzianità 2011.</w:t>
            </w:r>
          </w:p>
          <w:p w:rsidR="00A8508A" w:rsidRDefault="00A8508A" w:rsidP="00A8508A">
            <w:r>
              <w:lastRenderedPageBreak/>
              <w:t>2-sexies. Per l’anno 2027 la decorrenza della qualifica di primo luogotenente e l’ordine di iscrizione in ruolo sono così disciplinati:</w:t>
            </w:r>
          </w:p>
          <w:p w:rsidR="00A8508A" w:rsidRDefault="00A8508A" w:rsidP="00A8508A">
            <w:r>
              <w:t>a)</w:t>
            </w:r>
            <w:r>
              <w:tab/>
              <w:t>1° gennaio 2027, luogotenenti con anzianità di grado dal 1° gennaio 2021 al 31 marzo 2021, precedentemente primi marescialli con anzianità di grado dal 1° gennaio 2017 al 31</w:t>
            </w:r>
          </w:p>
          <w:p w:rsidR="00A8508A" w:rsidRDefault="00A8508A" w:rsidP="00A8508A">
            <w:r>
              <w:t>marzo 2017;</w:t>
            </w:r>
          </w:p>
          <w:p w:rsidR="00A8508A" w:rsidRDefault="00A8508A" w:rsidP="00A8508A">
            <w:r>
              <w:t>b)</w:t>
            </w:r>
            <w:r>
              <w:tab/>
              <w:t>2 gennaio 2027, luogotenenti con anzianità di grado dal 1° aprile 2021 al 30 giugno 2021, precedentemente primi marescialli con anzianità di grado dal 1° aprile 2017 al 30</w:t>
            </w:r>
          </w:p>
          <w:p w:rsidR="00A8508A" w:rsidRDefault="00A8508A" w:rsidP="00A8508A">
            <w:r>
              <w:t>giugno 2017;</w:t>
            </w:r>
          </w:p>
          <w:p w:rsidR="00A8508A" w:rsidRDefault="00A8508A" w:rsidP="00A8508A">
            <w:r>
              <w:t>c)</w:t>
            </w:r>
            <w:r>
              <w:tab/>
              <w:t>3 gennaio 2027, luogotenenti con anzianità di grado dal 1° luglio 2021 al 31 dicembre 2021, precedentemente primi marescialli con anzianità di grado dal 1° luglio 2017 al 31</w:t>
            </w:r>
          </w:p>
          <w:p w:rsidR="00A8508A" w:rsidRDefault="00A8508A" w:rsidP="00A8508A">
            <w:r>
              <w:t>dicembre 2017;</w:t>
            </w:r>
          </w:p>
          <w:p w:rsidR="00A8508A" w:rsidRPr="00CC52E2" w:rsidRDefault="00A8508A" w:rsidP="00A8508A">
            <w:r>
              <w:t>d)</w:t>
            </w:r>
            <w:r>
              <w:tab/>
              <w:t>1° luglio 2027, luogotenenti con anzianità di grado dal 1° luglio 2023 al 31 dicembre 2023.))</w:t>
            </w:r>
          </w:p>
        </w:tc>
        <w:tc>
          <w:tcPr>
            <w:tcW w:w="4759" w:type="dxa"/>
          </w:tcPr>
          <w:p w:rsidR="00A8508A" w:rsidRDefault="00A8508A" w:rsidP="00A8508A">
            <w:r>
              <w:lastRenderedPageBreak/>
              <w:t>Art. 2251-quater</w:t>
            </w:r>
          </w:p>
          <w:p w:rsidR="00A8508A" w:rsidRDefault="00A8508A" w:rsidP="00A8508A">
            <w:r>
              <w:t>(Disposizioni transitorie per l’attribuzione della qualifica di primo luogotenente ai luogotenenti dell’Esercito italiano, della Marina militare e dell’Aeronautica militare)</w:t>
            </w:r>
          </w:p>
          <w:p w:rsidR="00A8508A" w:rsidRDefault="00A8508A" w:rsidP="00A8508A">
            <w:r>
              <w:t>1.</w:t>
            </w:r>
            <w:r>
              <w:tab/>
              <w:t>Il personale che ha assunto il grado di luogotenente, ai sensi dell’articolo 2251-ter, comma 1, e non si trovi nelle condizioni di cui all’articolo 1051 è inserito in una aliquota straordinaria al 1° ottobre 2017. L’attribuzione della qualifica di primo luogotenente ha decorrenza 1° ottobre 2017.</w:t>
            </w:r>
          </w:p>
          <w:p w:rsidR="00A8508A" w:rsidRDefault="00A8508A" w:rsidP="00A8508A">
            <w:r>
              <w:t>2.</w:t>
            </w:r>
            <w:r>
              <w:tab/>
              <w:t>Al personale promosso al grado di luogotenente ai sensi dell’art. 2251-ter, ((commi 2, 3 e 3-bis)), ai fini dell’attribuzione della qualifica di primo luogotenente, fermi restando gli altri requisiti, sono richiesti i periodi di permanenza minima nel grado di seguito indicati:</w:t>
            </w:r>
          </w:p>
          <w:p w:rsidR="00A8508A" w:rsidRDefault="00A8508A" w:rsidP="00A8508A">
            <w:r>
              <w:t>a)</w:t>
            </w:r>
            <w:r>
              <w:tab/>
              <w:t>un anno, per il personale che rivestiva il grado di primo maresciallo non oltre il 2006;</w:t>
            </w:r>
          </w:p>
          <w:p w:rsidR="00A8508A" w:rsidRDefault="00A8508A" w:rsidP="00A8508A">
            <w:r>
              <w:lastRenderedPageBreak/>
              <w:t>b)</w:t>
            </w:r>
            <w:r>
              <w:tab/>
              <w:t>due anni, per il personale che rivestiva il grado di primo maresciallo dal 1° gennaio 2007 al 31 dicembre 2007;</w:t>
            </w:r>
          </w:p>
          <w:p w:rsidR="00A8508A" w:rsidRDefault="00A8508A" w:rsidP="00A8508A">
            <w:r>
              <w:t>c)</w:t>
            </w:r>
            <w:r>
              <w:tab/>
              <w:t>tre anni, per il personale che rivestiva il grado di primo maresciallo dal 1° gennaio 2008 al ((31 dicembre 2009)).</w:t>
            </w:r>
          </w:p>
          <w:p w:rsidR="00A8508A" w:rsidRDefault="00A8508A" w:rsidP="00A8508A">
            <w:r>
              <w:t>((c-bis) due anni, per i luogotenenti con anzianità di grado compresa tra il 1° gennaio 2018 e il 31 dicembre 2018;</w:t>
            </w:r>
          </w:p>
          <w:p w:rsidR="00A8508A" w:rsidRDefault="00A8508A" w:rsidP="00A8508A">
            <w:r>
              <w:t>c-ter) un anno, per i luogotenenti con anzianità di grado compresa tra il 1° gennaio 2019 e il 31 dicembre 2019;</w:t>
            </w:r>
          </w:p>
          <w:p w:rsidR="00AA4785" w:rsidRDefault="00A8508A" w:rsidP="00A8508A">
            <w:r>
              <w:t>c-quater) un anno, per i luogotenenti con anzianità di grado compresa tra il 1° gennaio 2020 e il 31 dicembre 2020, di cui all’articolo 2251-ter, comma 3-ter, lettera a);</w:t>
            </w:r>
          </w:p>
          <w:p w:rsidR="00A8508A" w:rsidRDefault="00A8508A" w:rsidP="00A8508A">
            <w:r>
              <w:t>c-</w:t>
            </w:r>
            <w:proofErr w:type="spellStart"/>
            <w:r>
              <w:t>quinquies</w:t>
            </w:r>
            <w:proofErr w:type="spellEnd"/>
            <w:r>
              <w:t>) due anni, per i luogotenenti con anzianità di grado compresa tra il 1° gennaio 2020 e il 31 dicembre 2020, di cui all’articolo 2251-ter, comma 3-ter, lettera b);</w:t>
            </w:r>
          </w:p>
          <w:p w:rsidR="00A8508A" w:rsidRDefault="00A8508A" w:rsidP="00A8508A">
            <w:r>
              <w:t>c-</w:t>
            </w:r>
            <w:proofErr w:type="spellStart"/>
            <w:r>
              <w:t>sexies</w:t>
            </w:r>
            <w:proofErr w:type="spellEnd"/>
            <w:r>
              <w:t>) tre anni, per i luogotenenti con anzianità di grado compresa tra il 1° gennaio 2020 e il 31 dicembre 2020, di cui all’articolo 2251-ter, comma 3-ter, lettera c);</w:t>
            </w:r>
          </w:p>
          <w:p w:rsidR="00A8508A" w:rsidRDefault="00A8508A" w:rsidP="00A8508A">
            <w:r>
              <w:t>c-</w:t>
            </w:r>
            <w:proofErr w:type="spellStart"/>
            <w:r>
              <w:t>septies</w:t>
            </w:r>
            <w:proofErr w:type="spellEnd"/>
            <w:r>
              <w:t>) quattro anni, per i luogotenenti con anzianità di grado compresa tra il 1° gennaio 2020 e il 31 dicembre 2020, di cui all’articolo 2251-ter, comma 3-ter, lettera d);</w:t>
            </w:r>
          </w:p>
          <w:p w:rsidR="00A8508A" w:rsidRDefault="00A8508A" w:rsidP="00A8508A">
            <w:r>
              <w:t>c-</w:t>
            </w:r>
            <w:proofErr w:type="spellStart"/>
            <w:r>
              <w:t>octies</w:t>
            </w:r>
            <w:proofErr w:type="spellEnd"/>
            <w:r>
              <w:t>) cinque anni, per i luogotenenti con anzianità di grado compresa tra il 1° gennaio 2020 e il 31 dicembre 2020, di cui all’articolo 2251-ter, comma 3-ter, lettera e);</w:t>
            </w:r>
          </w:p>
          <w:p w:rsidR="00A8508A" w:rsidRDefault="00A8508A" w:rsidP="00A8508A">
            <w:r>
              <w:lastRenderedPageBreak/>
              <w:t>c-</w:t>
            </w:r>
            <w:proofErr w:type="spellStart"/>
            <w:r>
              <w:t>nonies</w:t>
            </w:r>
            <w:proofErr w:type="spellEnd"/>
            <w:r>
              <w:t>) sei anni, per i luogotenenti con anzianità di grado compresa tra il 1° gennaio 2020 e il 31 dicembre 2020, di cui all’articolo 2251-ter, comma 3-ter, lettera f);</w:t>
            </w:r>
          </w:p>
          <w:p w:rsidR="00A8508A" w:rsidRDefault="00A8508A" w:rsidP="00A8508A">
            <w:r>
              <w:t>c-</w:t>
            </w:r>
            <w:proofErr w:type="spellStart"/>
            <w:r>
              <w:t>decies</w:t>
            </w:r>
            <w:proofErr w:type="spellEnd"/>
            <w:r>
              <w:t>) sei anni, per i luogotenenti con anzianità di grado compresa tra il 1° gennaio 2021 e il 31 dicembre 2021, di cui all’articolo 2251-ter, comma 3-bis, lettera g).))</w:t>
            </w:r>
          </w:p>
          <w:p w:rsidR="00A8508A" w:rsidRDefault="00A8508A" w:rsidP="00A8508A">
            <w:r>
              <w:t>2-bis. Per le qualifiche da attribuire dal 2019 al 2027, in deroga alle disposizioni di cui all'articolo 1323, comma 1, i luogotenenti con anzianità di grado 1° gennaio nonché i Luogotenenti promossi ai sensi dell’art. 2251-ter, commi 3-septies, lettere b), c), d), e) ed f) e 3-octies, lettere b) e c), a cui attribuire la qualifica di primo luogotenente sono inclusi in una aliquota formata al 31 dicembre dell'anno solare precedente alla maturazione del requisito minimo di anzianità stabilito dal comma 2.</w:t>
            </w:r>
          </w:p>
          <w:p w:rsidR="00A8508A" w:rsidRDefault="00A8508A" w:rsidP="00A8508A">
            <w:r>
              <w:t>2-ter. Ai luogotenenti esclusi dalle aliquote di cui ai commi 1, 2 e 2-bis per i motivi di cui all’articolo 1051, si applicano, in quanto compatibili, le disposizioni di cui al capo V del titolo VII, in materia di rinnovazione dei giudizi di avanzamento.</w:t>
            </w:r>
          </w:p>
          <w:p w:rsidR="00A8508A" w:rsidRDefault="00A8508A" w:rsidP="00A8508A">
            <w:r>
              <w:t>2-quater. I luogotenenti esclusi dalle aliquote cui ai commi 1, 2 e 2-bis per mancanza dei</w:t>
            </w:r>
          </w:p>
          <w:p w:rsidR="00A8508A" w:rsidRDefault="00A8508A" w:rsidP="00A8508A">
            <w:r>
              <w:t>requisiti di cui all’articolo 1323, comma 1, lettere c) e d), sono inseriti nella prima aliquota</w:t>
            </w:r>
          </w:p>
          <w:p w:rsidR="00A8508A" w:rsidRDefault="00A8508A" w:rsidP="00A8508A">
            <w:r>
              <w:t>successiva alla data di maturazione di tali requisiti e la qualifica speciale è conferita a decorrere dal giorno successivo a tale data.</w:t>
            </w:r>
          </w:p>
          <w:p w:rsidR="00A8508A" w:rsidRDefault="00A8508A" w:rsidP="00A8508A">
            <w:r>
              <w:lastRenderedPageBreak/>
              <w:t>2-quinquies. Per l’anno 2020 la decorrenza della qualifica di primo luogotenente e l’ordine di iscrizione in ruolo sono così disciplinati:</w:t>
            </w:r>
          </w:p>
          <w:p w:rsidR="00A8508A" w:rsidRDefault="00A8508A" w:rsidP="00A8508A">
            <w:r>
              <w:t>a)</w:t>
            </w:r>
            <w:r>
              <w:tab/>
              <w:t>1° gennaio 2020, luogotenenti con anzianità di grado dal 1° gennaio 2017 al 31 dicembre 2017, precedentemente primi marescialli con anzianità 2008;</w:t>
            </w:r>
          </w:p>
          <w:p w:rsidR="00A8508A" w:rsidRDefault="00A8508A" w:rsidP="00A8508A">
            <w:r>
              <w:t>b)</w:t>
            </w:r>
            <w:r>
              <w:tab/>
              <w:t>2 gennaio 2020, luogotenenti con anzianità di grado dal 1° gennaio 2017 al 31 dicembre 2017, precedentemente primi marescialli con anzianità 2009;</w:t>
            </w:r>
          </w:p>
          <w:p w:rsidR="00A8508A" w:rsidRDefault="00A8508A" w:rsidP="00A8508A">
            <w:r>
              <w:t>c)</w:t>
            </w:r>
            <w:r>
              <w:tab/>
              <w:t>3 gennaio 2020, luogotenenti con anzianità di grado dal 1° gennaio 2018 al 31 dicembre 2018, precedentemente primi marescialli con anzianità 2010;</w:t>
            </w:r>
          </w:p>
          <w:p w:rsidR="00A8508A" w:rsidRDefault="00A8508A" w:rsidP="00A8508A">
            <w:r>
              <w:t>d)</w:t>
            </w:r>
            <w:r>
              <w:tab/>
              <w:t>4 gennaio 2020, luogotenenti con anzianità di grado dal 1° gennaio 2019 al 31 dicembre 2019, precedentemente primi marescialli con anzianità 2011.</w:t>
            </w:r>
          </w:p>
          <w:p w:rsidR="00A8508A" w:rsidRDefault="00A8508A" w:rsidP="00A8508A">
            <w:r>
              <w:t>2-sexies. Per l’anno 2027 la decorrenza della qualifica di primo luogotenente e l’ordine di iscrizione in ruolo sono così disciplinati:</w:t>
            </w:r>
          </w:p>
          <w:p w:rsidR="00A8508A" w:rsidRDefault="00A8508A" w:rsidP="00A8508A">
            <w:r>
              <w:t>a)</w:t>
            </w:r>
            <w:r>
              <w:tab/>
              <w:t>1° gennaio 2027, luogotenenti con anzianità di grado dal 1° gennaio 2021 al 31 marzo 2021, precedentemente primi marescialli con anzianità di grado dal 1° gennaio 2017 al 31</w:t>
            </w:r>
          </w:p>
          <w:p w:rsidR="00A8508A" w:rsidRDefault="00A8508A" w:rsidP="00A8508A">
            <w:r>
              <w:t>marzo 2017;</w:t>
            </w:r>
          </w:p>
          <w:p w:rsidR="00A8508A" w:rsidRDefault="00A8508A" w:rsidP="00A8508A">
            <w:r>
              <w:t>b)</w:t>
            </w:r>
            <w:r>
              <w:tab/>
              <w:t>2 gennaio 2027, luogotenenti con anzianità di grado dal 1° aprile 2021 al 30 giugno 2021, precedentemente primi marescialli con anzianità di grado dal 1° aprile 2017 al 30</w:t>
            </w:r>
          </w:p>
          <w:p w:rsidR="00A8508A" w:rsidRDefault="00A8508A" w:rsidP="00A8508A">
            <w:r>
              <w:t>giugno 2017;</w:t>
            </w:r>
          </w:p>
          <w:p w:rsidR="00A8508A" w:rsidRDefault="00A8508A" w:rsidP="00A8508A">
            <w:r>
              <w:lastRenderedPageBreak/>
              <w:t>c)</w:t>
            </w:r>
            <w:r>
              <w:tab/>
              <w:t>3 gennaio 2027, luogotenenti con anzianità di grado dal 1° luglio 2021 al 31 dicembre 2021, precedentemente primi marescialli con anzianità di grado dal 1° luglio 2017 al 31</w:t>
            </w:r>
          </w:p>
          <w:p w:rsidR="00A8508A" w:rsidRDefault="00A8508A" w:rsidP="00A8508A">
            <w:r>
              <w:t>dicembre 2017;</w:t>
            </w:r>
          </w:p>
          <w:p w:rsidR="00A8508A" w:rsidRPr="00CC52E2" w:rsidRDefault="00A8508A" w:rsidP="00A8508A">
            <w:r>
              <w:t>d)</w:t>
            </w:r>
            <w:r>
              <w:tab/>
              <w:t>1° luglio 2027, luogotenenti con anzianità di grado dal 1° luglio 2023 al 31 dicembre 2023.))</w:t>
            </w:r>
          </w:p>
        </w:tc>
        <w:tc>
          <w:tcPr>
            <w:tcW w:w="4759" w:type="dxa"/>
          </w:tcPr>
          <w:p w:rsidR="00AA4785" w:rsidRPr="00CC52E2" w:rsidRDefault="00A8508A" w:rsidP="00A8508A">
            <w:r>
              <w:lastRenderedPageBreak/>
              <w:t>La necessità di emendare l</w:t>
            </w:r>
            <w:r>
              <w:t xml:space="preserve">’articolo 2251-quater “Disposizioni transitorie per l'attribuzione della qualifica di primo luogotenente ai luogotenenti dell'Esercito italiano, della Marina militare e dell'Aeronautica militare” </w:t>
            </w:r>
            <w:r>
              <w:t>allo scopo d</w:t>
            </w:r>
            <w:r>
              <w:t>i estendere, anche ai Luogotenenti con anzianità compresa tra il 2 e il 6 gennaio, l’inclusione nell’aliquota per il conferimento della qualifica di Primo Luogotenente riferita al</w:t>
            </w:r>
            <w:r>
              <w:t xml:space="preserve"> </w:t>
            </w:r>
            <w:r>
              <w:t>31 dicembre dell’anno solare antecedente (uniformandoli, così, ai parigrado con anzianità 1° gennaio che, per effetto di analoga norma, fruivano già del medesimo istituto).</w:t>
            </w:r>
          </w:p>
        </w:tc>
      </w:tr>
      <w:tr w:rsidR="005D30EC" w:rsidRPr="005D30EC" w:rsidTr="005D30EC">
        <w:tc>
          <w:tcPr>
            <w:tcW w:w="4759" w:type="dxa"/>
          </w:tcPr>
          <w:p w:rsidR="005D30EC" w:rsidRPr="005D30EC" w:rsidRDefault="005D30EC" w:rsidP="005D30EC">
            <w:pPr>
              <w:rPr>
                <w:b/>
                <w:i/>
              </w:rPr>
            </w:pPr>
            <w:r w:rsidRPr="005D30EC">
              <w:rPr>
                <w:b/>
                <w:i/>
              </w:rPr>
              <w:lastRenderedPageBreak/>
              <w:t>Attuale formulazione</w:t>
            </w:r>
          </w:p>
        </w:tc>
        <w:tc>
          <w:tcPr>
            <w:tcW w:w="4759" w:type="dxa"/>
          </w:tcPr>
          <w:p w:rsidR="005D30EC" w:rsidRPr="005D30EC" w:rsidRDefault="005D30EC" w:rsidP="005D30EC">
            <w:pPr>
              <w:rPr>
                <w:b/>
                <w:i/>
              </w:rPr>
            </w:pPr>
            <w:r w:rsidRPr="005D30EC">
              <w:rPr>
                <w:b/>
                <w:i/>
              </w:rPr>
              <w:t>Novellato</w:t>
            </w:r>
          </w:p>
        </w:tc>
        <w:tc>
          <w:tcPr>
            <w:tcW w:w="4759" w:type="dxa"/>
          </w:tcPr>
          <w:p w:rsidR="005D30EC" w:rsidRPr="005D30EC" w:rsidRDefault="005D30EC" w:rsidP="005D30EC">
            <w:pPr>
              <w:rPr>
                <w:b/>
                <w:i/>
              </w:rPr>
            </w:pPr>
            <w:r w:rsidRPr="005D30EC">
              <w:rPr>
                <w:b/>
                <w:i/>
              </w:rPr>
              <w:t>Razionale</w:t>
            </w:r>
          </w:p>
        </w:tc>
      </w:tr>
      <w:tr w:rsidR="005D30EC" w:rsidTr="005D30EC">
        <w:tc>
          <w:tcPr>
            <w:tcW w:w="4759" w:type="dxa"/>
          </w:tcPr>
          <w:p w:rsidR="005D30EC" w:rsidRDefault="005D30EC" w:rsidP="00AA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933 C.O.M.</w:t>
            </w:r>
          </w:p>
        </w:tc>
        <w:tc>
          <w:tcPr>
            <w:tcW w:w="4759" w:type="dxa"/>
          </w:tcPr>
          <w:p w:rsidR="005D30EC" w:rsidRPr="005D30EC" w:rsidRDefault="005D30EC" w:rsidP="005D30EC">
            <w:pPr>
              <w:rPr>
                <w:rFonts w:ascii="Times New Roman" w:hAnsi="Times New Roman" w:cs="Times New Roman"/>
              </w:rPr>
            </w:pPr>
            <w:r w:rsidRPr="005D30EC">
              <w:rPr>
                <w:rFonts w:ascii="Times New Roman" w:hAnsi="Times New Roman" w:cs="Times New Roman"/>
              </w:rPr>
              <w:t>Art. 933 del C.O.M.</w:t>
            </w:r>
          </w:p>
          <w:p w:rsidR="005D30EC" w:rsidRPr="00BD6C40" w:rsidRDefault="005D30EC" w:rsidP="005D30EC">
            <w:pPr>
              <w:rPr>
                <w:rFonts w:ascii="Times New Roman" w:hAnsi="Times New Roman" w:cs="Times New Roman"/>
                <w:b/>
              </w:rPr>
            </w:pPr>
            <w:r w:rsidRPr="00BD6C40">
              <w:rPr>
                <w:rFonts w:ascii="Times New Roman" w:hAnsi="Times New Roman" w:cs="Times New Roman"/>
                <w:b/>
              </w:rPr>
              <w:t>comma 5 bis: "Per il personale militare che ha raggiunto i requisiti pensionistici previsti per l’uscita anticipata dal servizio, e cessa dal servizio a domanda, si applica, su richiesta dell' interessato, l’articolo 3, comma 7, del Decreto legislativo n. 165 del 1997.</w:t>
            </w:r>
          </w:p>
        </w:tc>
        <w:tc>
          <w:tcPr>
            <w:tcW w:w="4759" w:type="dxa"/>
          </w:tcPr>
          <w:p w:rsidR="00BD6C40" w:rsidRDefault="00BD6C40" w:rsidP="00AA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ragione della specificità:</w:t>
            </w:r>
          </w:p>
          <w:p w:rsidR="005D30EC" w:rsidRDefault="005D30EC" w:rsidP="00AA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L’introduzione del comma 5 bis permetterebbe di superare il diverso trattamento tra FF.AA. e le FF.PP. per quanto riguarda i 6 scatti.</w:t>
            </w:r>
          </w:p>
        </w:tc>
      </w:tr>
    </w:tbl>
    <w:p w:rsidR="00D76A40" w:rsidRDefault="00D76A40" w:rsidP="00AA3A0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BD6C40" w:rsidRPr="00BD6C40" w:rsidTr="00BD6C40">
        <w:tc>
          <w:tcPr>
            <w:tcW w:w="4759" w:type="dxa"/>
          </w:tcPr>
          <w:p w:rsidR="00BD6C40" w:rsidRPr="00BD6C40" w:rsidRDefault="00BD6C40" w:rsidP="00AA3A0B">
            <w:pPr>
              <w:rPr>
                <w:rFonts w:ascii="Times New Roman" w:hAnsi="Times New Roman" w:cs="Times New Roman"/>
                <w:b/>
                <w:i/>
              </w:rPr>
            </w:pPr>
            <w:r w:rsidRPr="00BD6C40">
              <w:rPr>
                <w:rFonts w:ascii="Times New Roman" w:hAnsi="Times New Roman" w:cs="Times New Roman"/>
                <w:b/>
                <w:i/>
              </w:rPr>
              <w:t>Attuale formulazione</w:t>
            </w:r>
          </w:p>
        </w:tc>
        <w:tc>
          <w:tcPr>
            <w:tcW w:w="4759" w:type="dxa"/>
          </w:tcPr>
          <w:p w:rsidR="00BD6C40" w:rsidRPr="00BD6C40" w:rsidRDefault="00BD6C40" w:rsidP="00AA3A0B">
            <w:pPr>
              <w:rPr>
                <w:rFonts w:ascii="Times New Roman" w:hAnsi="Times New Roman" w:cs="Times New Roman"/>
                <w:b/>
                <w:i/>
              </w:rPr>
            </w:pPr>
            <w:r w:rsidRPr="00BD6C40">
              <w:rPr>
                <w:rFonts w:ascii="Times New Roman" w:hAnsi="Times New Roman" w:cs="Times New Roman"/>
                <w:b/>
                <w:i/>
              </w:rPr>
              <w:t>Novellato</w:t>
            </w:r>
          </w:p>
        </w:tc>
        <w:tc>
          <w:tcPr>
            <w:tcW w:w="4759" w:type="dxa"/>
          </w:tcPr>
          <w:p w:rsidR="00BD6C40" w:rsidRPr="00BD6C40" w:rsidRDefault="00BD6C40" w:rsidP="00AA3A0B">
            <w:pPr>
              <w:rPr>
                <w:rFonts w:ascii="Times New Roman" w:hAnsi="Times New Roman" w:cs="Times New Roman"/>
                <w:b/>
                <w:i/>
              </w:rPr>
            </w:pPr>
            <w:r w:rsidRPr="00BD6C40">
              <w:rPr>
                <w:rFonts w:ascii="Times New Roman" w:hAnsi="Times New Roman" w:cs="Times New Roman"/>
                <w:b/>
                <w:i/>
              </w:rPr>
              <w:t>Razionale</w:t>
            </w:r>
          </w:p>
        </w:tc>
      </w:tr>
      <w:tr w:rsidR="00BD6C40" w:rsidTr="00BD6C40">
        <w:tc>
          <w:tcPr>
            <w:tcW w:w="4759" w:type="dxa"/>
          </w:tcPr>
          <w:p w:rsidR="00BD6C40" w:rsidRDefault="00BD6C40" w:rsidP="00AA3A0B">
            <w:pPr>
              <w:rPr>
                <w:rStyle w:val="arttextincomma"/>
              </w:rPr>
            </w:pPr>
            <w:r>
              <w:rPr>
                <w:rStyle w:val="arttextincomma"/>
              </w:rPr>
              <w:t xml:space="preserve">Art. 1908 </w:t>
            </w:r>
            <w:proofErr w:type="spellStart"/>
            <w:r w:rsidRPr="00BD6C40">
              <w:rPr>
                <w:rStyle w:val="arttextincomma"/>
              </w:rPr>
              <w:t>D.lgs</w:t>
            </w:r>
            <w:proofErr w:type="spellEnd"/>
            <w:r w:rsidRPr="00BD6C40">
              <w:rPr>
                <w:rStyle w:val="arttextincomma"/>
              </w:rPr>
              <w:t xml:space="preserve"> 15 marzo 2010, n. 66</w:t>
            </w:r>
          </w:p>
          <w:p w:rsidR="00BD6C40" w:rsidRDefault="00BD6C40" w:rsidP="00AA3A0B">
            <w:pPr>
              <w:rPr>
                <w:rFonts w:ascii="Times New Roman" w:hAnsi="Times New Roman" w:cs="Times New Roman"/>
              </w:rPr>
            </w:pPr>
            <w:r>
              <w:rPr>
                <w:rStyle w:val="arttextincomma"/>
              </w:rPr>
              <w:t>Il trattamento di fine servizio, è corrisposto al personale militare secondo le disposizioni stabilite per i dipendenti dello Stato, in quanto compatibili con le norme del presente codice.</w:t>
            </w:r>
          </w:p>
        </w:tc>
        <w:tc>
          <w:tcPr>
            <w:tcW w:w="4759" w:type="dxa"/>
          </w:tcPr>
          <w:p w:rsidR="00BD6C40" w:rsidRPr="0088127F" w:rsidRDefault="00BD6C40" w:rsidP="00BD6C40">
            <w:pPr>
              <w:rPr>
                <w:rFonts w:ascii="Times New Roman" w:hAnsi="Times New Roman" w:cs="Times New Roman"/>
                <w:b/>
              </w:rPr>
            </w:pPr>
            <w:r w:rsidRPr="0088127F">
              <w:rPr>
                <w:rFonts w:ascii="Times New Roman" w:hAnsi="Times New Roman" w:cs="Times New Roman"/>
                <w:b/>
              </w:rPr>
              <w:t xml:space="preserve">Art. 1908 </w:t>
            </w:r>
            <w:proofErr w:type="spellStart"/>
            <w:r w:rsidRPr="0088127F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88127F">
              <w:rPr>
                <w:rFonts w:ascii="Times New Roman" w:hAnsi="Times New Roman" w:cs="Times New Roman"/>
                <w:b/>
              </w:rPr>
              <w:t xml:space="preserve"> 15 marzo 2010, n. 66</w:t>
            </w:r>
          </w:p>
          <w:p w:rsidR="00BD6C40" w:rsidRPr="0088127F" w:rsidRDefault="00BD6C40" w:rsidP="00BD6C40">
            <w:pPr>
              <w:rPr>
                <w:rFonts w:ascii="Times New Roman" w:hAnsi="Times New Roman" w:cs="Times New Roman"/>
                <w:b/>
              </w:rPr>
            </w:pPr>
            <w:r w:rsidRPr="0088127F">
              <w:rPr>
                <w:rFonts w:ascii="Times New Roman" w:hAnsi="Times New Roman" w:cs="Times New Roman"/>
                <w:b/>
              </w:rPr>
              <w:t xml:space="preserve">Il trattamento di fine servizio, </w:t>
            </w:r>
            <w:r w:rsidRPr="0088127F">
              <w:rPr>
                <w:rFonts w:ascii="Times New Roman" w:hAnsi="Times New Roman" w:cs="Times New Roman"/>
                <w:b/>
              </w:rPr>
              <w:t xml:space="preserve">in ragione della specificità </w:t>
            </w:r>
            <w:r w:rsidR="0088127F">
              <w:rPr>
                <w:rFonts w:ascii="Times New Roman" w:hAnsi="Times New Roman" w:cs="Times New Roman"/>
                <w:b/>
              </w:rPr>
              <w:t xml:space="preserve">entro </w:t>
            </w:r>
            <w:r w:rsidRPr="0088127F">
              <w:rPr>
                <w:rFonts w:ascii="Times New Roman" w:hAnsi="Times New Roman" w:cs="Times New Roman"/>
                <w:b/>
              </w:rPr>
              <w:t xml:space="preserve"> </w:t>
            </w:r>
            <w:r w:rsidR="0088127F">
              <w:rPr>
                <w:rFonts w:ascii="Times New Roman" w:hAnsi="Times New Roman" w:cs="Times New Roman"/>
                <w:b/>
              </w:rPr>
              <w:t xml:space="preserve">nove </w:t>
            </w:r>
            <w:r w:rsidRPr="0088127F">
              <w:rPr>
                <w:rFonts w:ascii="Times New Roman" w:hAnsi="Times New Roman" w:cs="Times New Roman"/>
                <w:b/>
              </w:rPr>
              <w:t>mesi dalla cessazione dal servizio.</w:t>
            </w:r>
          </w:p>
        </w:tc>
        <w:tc>
          <w:tcPr>
            <w:tcW w:w="4759" w:type="dxa"/>
          </w:tcPr>
          <w:p w:rsidR="0088127F" w:rsidRPr="0088127F" w:rsidRDefault="00BD6C40" w:rsidP="0088127F">
            <w:pPr>
              <w:rPr>
                <w:rFonts w:ascii="Times New Roman" w:hAnsi="Times New Roman" w:cs="Times New Roman"/>
              </w:rPr>
            </w:pPr>
            <w:r w:rsidRPr="00BD6C40">
              <w:rPr>
                <w:rFonts w:ascii="Times New Roman" w:hAnsi="Times New Roman" w:cs="Times New Roman"/>
              </w:rPr>
              <w:t>In ragione della specificità</w:t>
            </w:r>
            <w:r w:rsidR="0088127F">
              <w:rPr>
                <w:rFonts w:ascii="Times New Roman" w:hAnsi="Times New Roman" w:cs="Times New Roman"/>
              </w:rPr>
              <w:t xml:space="preserve"> e del particolare servizio svolto dai militari, anche per dare attuazione alle </w:t>
            </w:r>
            <w:r w:rsidR="0088127F" w:rsidRPr="0088127F">
              <w:rPr>
                <w:rFonts w:ascii="Times New Roman" w:hAnsi="Times New Roman" w:cs="Times New Roman"/>
              </w:rPr>
              <w:t xml:space="preserve">diverse sentenze </w:t>
            </w:r>
            <w:r w:rsidR="0088127F">
              <w:rPr>
                <w:rFonts w:ascii="Times New Roman" w:hAnsi="Times New Roman" w:cs="Times New Roman"/>
              </w:rPr>
              <w:t xml:space="preserve">ed iniziative sindacali, </w:t>
            </w:r>
            <w:r w:rsidR="0088127F" w:rsidRPr="0088127F">
              <w:rPr>
                <w:rFonts w:ascii="Times New Roman" w:hAnsi="Times New Roman" w:cs="Times New Roman"/>
              </w:rPr>
              <w:t xml:space="preserve">la dilazione nell’erogazione del TFS, </w:t>
            </w:r>
            <w:r w:rsidR="0088127F">
              <w:rPr>
                <w:rFonts w:ascii="Times New Roman" w:hAnsi="Times New Roman" w:cs="Times New Roman"/>
              </w:rPr>
              <w:t>è ridotta a massimo nove mesi.</w:t>
            </w:r>
          </w:p>
          <w:p w:rsidR="0088127F" w:rsidRDefault="0088127F" w:rsidP="0088127F">
            <w:pPr>
              <w:rPr>
                <w:rFonts w:ascii="Times New Roman" w:hAnsi="Times New Roman" w:cs="Times New Roman"/>
              </w:rPr>
            </w:pPr>
          </w:p>
          <w:p w:rsidR="0088127F" w:rsidRPr="0088127F" w:rsidRDefault="0088127F" w:rsidP="0088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Nell’ambito della modifica di tale articolo prevedere anche che i militari possano chiedere l’anticipo del </w:t>
            </w:r>
            <w:proofErr w:type="gramStart"/>
            <w:r>
              <w:rPr>
                <w:rFonts w:ascii="Times New Roman" w:hAnsi="Times New Roman" w:cs="Times New Roman"/>
              </w:rPr>
              <w:t>T.F.S..</w:t>
            </w:r>
            <w:proofErr w:type="gramEnd"/>
          </w:p>
          <w:p w:rsidR="00BD6C40" w:rsidRDefault="00BD6C40" w:rsidP="008812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D6C40" w:rsidRPr="00BD6C40" w:rsidRDefault="00BD6C40" w:rsidP="00AA3A0B">
      <w:pPr>
        <w:rPr>
          <w:rFonts w:ascii="Times New Roman" w:hAnsi="Times New Roman" w:cs="Times New Roman"/>
        </w:rPr>
      </w:pPr>
    </w:p>
    <w:sectPr w:rsidR="00BD6C40" w:rsidRPr="00BD6C40" w:rsidSect="00970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88" w:rsidRDefault="000D0788" w:rsidP="001947E3">
      <w:r>
        <w:separator/>
      </w:r>
    </w:p>
  </w:endnote>
  <w:endnote w:type="continuationSeparator" w:id="0">
    <w:p w:rsidR="000D0788" w:rsidRDefault="000D0788" w:rsidP="0019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ourier New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9111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9111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911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88" w:rsidRDefault="000D0788" w:rsidP="001947E3">
      <w:r>
        <w:separator/>
      </w:r>
    </w:p>
  </w:footnote>
  <w:footnote w:type="continuationSeparator" w:id="0">
    <w:p w:rsidR="000D0788" w:rsidRDefault="000D0788" w:rsidP="0019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0D0788">
    <w:pPr>
      <w:pStyle w:val="Intestazione"/>
    </w:pPr>
    <w:r>
      <w:rPr>
        <w:noProof/>
      </w:rPr>
      <w:pict w14:anchorId="2A282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183" o:spid="_x0000_s2051" type="#_x0000_t75" alt="" style="position:absolute;margin-left:0;margin-top:0;width:714.35pt;height:204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lun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0D0788">
    <w:pPr>
      <w:pStyle w:val="Intestazione"/>
    </w:pPr>
    <w:r>
      <w:rPr>
        <w:noProof/>
      </w:rPr>
      <w:pict w14:anchorId="20907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184" o:spid="_x0000_s2050" type="#_x0000_t75" alt="" style="position:absolute;margin-left:0;margin-top:0;width:714.35pt;height:204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lun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B" w:rsidRDefault="000D0788">
    <w:pPr>
      <w:pStyle w:val="Intestazione"/>
    </w:pPr>
    <w:r>
      <w:rPr>
        <w:noProof/>
      </w:rPr>
      <w:pict w14:anchorId="7220B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182" o:spid="_x0000_s2049" type="#_x0000_t75" alt="" style="position:absolute;margin-left:0;margin-top:0;width:714.35pt;height:204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lun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659"/>
    <w:multiLevelType w:val="hybridMultilevel"/>
    <w:tmpl w:val="7DFE1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68B"/>
    <w:multiLevelType w:val="hybridMultilevel"/>
    <w:tmpl w:val="A9580A0E"/>
    <w:lvl w:ilvl="0" w:tplc="A79EF6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B14C6"/>
    <w:multiLevelType w:val="multilevel"/>
    <w:tmpl w:val="300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1A35"/>
    <w:multiLevelType w:val="multilevel"/>
    <w:tmpl w:val="1FD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4DF5"/>
    <w:multiLevelType w:val="multilevel"/>
    <w:tmpl w:val="DFCA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A4743"/>
    <w:multiLevelType w:val="hybridMultilevel"/>
    <w:tmpl w:val="7DFE1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1EC6"/>
    <w:multiLevelType w:val="multilevel"/>
    <w:tmpl w:val="9D18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0C9A"/>
    <w:multiLevelType w:val="hybridMultilevel"/>
    <w:tmpl w:val="809E8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27DBC"/>
    <w:multiLevelType w:val="multilevel"/>
    <w:tmpl w:val="F15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E6CFF"/>
    <w:multiLevelType w:val="hybridMultilevel"/>
    <w:tmpl w:val="809E8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E298D"/>
    <w:multiLevelType w:val="hybridMultilevel"/>
    <w:tmpl w:val="809E8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54AE"/>
    <w:multiLevelType w:val="multilevel"/>
    <w:tmpl w:val="DAD6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6095A"/>
    <w:multiLevelType w:val="multilevel"/>
    <w:tmpl w:val="0A5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11EF8"/>
    <w:multiLevelType w:val="multilevel"/>
    <w:tmpl w:val="935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F2"/>
    <w:rsid w:val="000242C4"/>
    <w:rsid w:val="00025758"/>
    <w:rsid w:val="000B3A87"/>
    <w:rsid w:val="000D0788"/>
    <w:rsid w:val="000D4839"/>
    <w:rsid w:val="000E0531"/>
    <w:rsid w:val="000E6593"/>
    <w:rsid w:val="000F5A0D"/>
    <w:rsid w:val="00184457"/>
    <w:rsid w:val="001947E3"/>
    <w:rsid w:val="001E3F44"/>
    <w:rsid w:val="001E4DAF"/>
    <w:rsid w:val="00232835"/>
    <w:rsid w:val="00256045"/>
    <w:rsid w:val="0028644A"/>
    <w:rsid w:val="002A384C"/>
    <w:rsid w:val="00306287"/>
    <w:rsid w:val="00327F71"/>
    <w:rsid w:val="003413B9"/>
    <w:rsid w:val="00396CCB"/>
    <w:rsid w:val="003A4CF2"/>
    <w:rsid w:val="003F3665"/>
    <w:rsid w:val="004107B5"/>
    <w:rsid w:val="00414DF7"/>
    <w:rsid w:val="00425DC9"/>
    <w:rsid w:val="004338F2"/>
    <w:rsid w:val="00463797"/>
    <w:rsid w:val="004711DA"/>
    <w:rsid w:val="0048154F"/>
    <w:rsid w:val="004A5281"/>
    <w:rsid w:val="004D3685"/>
    <w:rsid w:val="004D4924"/>
    <w:rsid w:val="00510BBB"/>
    <w:rsid w:val="005151DC"/>
    <w:rsid w:val="00522E10"/>
    <w:rsid w:val="00542F42"/>
    <w:rsid w:val="005A7530"/>
    <w:rsid w:val="005B06A0"/>
    <w:rsid w:val="005D30EC"/>
    <w:rsid w:val="0061319C"/>
    <w:rsid w:val="00635AF3"/>
    <w:rsid w:val="0064434D"/>
    <w:rsid w:val="00691EBD"/>
    <w:rsid w:val="007068DD"/>
    <w:rsid w:val="00713DF8"/>
    <w:rsid w:val="00716639"/>
    <w:rsid w:val="007174A1"/>
    <w:rsid w:val="00727BC7"/>
    <w:rsid w:val="007315B3"/>
    <w:rsid w:val="00742327"/>
    <w:rsid w:val="007438D9"/>
    <w:rsid w:val="007742FB"/>
    <w:rsid w:val="00780D9B"/>
    <w:rsid w:val="00787C20"/>
    <w:rsid w:val="007954CD"/>
    <w:rsid w:val="00795724"/>
    <w:rsid w:val="007A2BD3"/>
    <w:rsid w:val="007B173A"/>
    <w:rsid w:val="007C48BA"/>
    <w:rsid w:val="0080302B"/>
    <w:rsid w:val="0082085E"/>
    <w:rsid w:val="0082296C"/>
    <w:rsid w:val="00831E96"/>
    <w:rsid w:val="008441F9"/>
    <w:rsid w:val="008604FF"/>
    <w:rsid w:val="0088127F"/>
    <w:rsid w:val="00881BDB"/>
    <w:rsid w:val="00893C09"/>
    <w:rsid w:val="008A7C55"/>
    <w:rsid w:val="00911070"/>
    <w:rsid w:val="0091113B"/>
    <w:rsid w:val="00913E92"/>
    <w:rsid w:val="0093612B"/>
    <w:rsid w:val="009449E7"/>
    <w:rsid w:val="00970639"/>
    <w:rsid w:val="0097598F"/>
    <w:rsid w:val="009808BF"/>
    <w:rsid w:val="00984D5E"/>
    <w:rsid w:val="00985C46"/>
    <w:rsid w:val="00987DDA"/>
    <w:rsid w:val="00A05190"/>
    <w:rsid w:val="00A11FEF"/>
    <w:rsid w:val="00A8508A"/>
    <w:rsid w:val="00A87491"/>
    <w:rsid w:val="00AA3A0B"/>
    <w:rsid w:val="00AA4785"/>
    <w:rsid w:val="00AB4A51"/>
    <w:rsid w:val="00AC4162"/>
    <w:rsid w:val="00AD1ED3"/>
    <w:rsid w:val="00AD32C9"/>
    <w:rsid w:val="00B13FD5"/>
    <w:rsid w:val="00B3035F"/>
    <w:rsid w:val="00B65491"/>
    <w:rsid w:val="00B712F5"/>
    <w:rsid w:val="00B71F7E"/>
    <w:rsid w:val="00B770B3"/>
    <w:rsid w:val="00BD6C40"/>
    <w:rsid w:val="00BF3A23"/>
    <w:rsid w:val="00C558D1"/>
    <w:rsid w:val="00CE6900"/>
    <w:rsid w:val="00CF07AF"/>
    <w:rsid w:val="00D03806"/>
    <w:rsid w:val="00D53949"/>
    <w:rsid w:val="00D73787"/>
    <w:rsid w:val="00D76A40"/>
    <w:rsid w:val="00DA4F4E"/>
    <w:rsid w:val="00DE2C20"/>
    <w:rsid w:val="00E179B1"/>
    <w:rsid w:val="00E27FD7"/>
    <w:rsid w:val="00E3080C"/>
    <w:rsid w:val="00E41901"/>
    <w:rsid w:val="00E56B4F"/>
    <w:rsid w:val="00E901BF"/>
    <w:rsid w:val="00EC2B3C"/>
    <w:rsid w:val="00EE7E7A"/>
    <w:rsid w:val="00EF77BA"/>
    <w:rsid w:val="00F10D9B"/>
    <w:rsid w:val="00F174B7"/>
    <w:rsid w:val="00F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0C2E14"/>
  <w15:chartTrackingRefBased/>
  <w15:docId w15:val="{CDF792A2-3462-E542-BEDB-78133BD3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FD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0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CF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10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97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628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628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6287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47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4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47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1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3B"/>
  </w:style>
  <w:style w:type="paragraph" w:styleId="Pidipagina">
    <w:name w:val="footer"/>
    <w:basedOn w:val="Normale"/>
    <w:link w:val="PidipaginaCarattere"/>
    <w:uiPriority w:val="99"/>
    <w:unhideWhenUsed/>
    <w:rsid w:val="00911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3B"/>
  </w:style>
  <w:style w:type="paragraph" w:styleId="NormaleWeb">
    <w:name w:val="Normal (Web)"/>
    <w:basedOn w:val="Normale"/>
    <w:uiPriority w:val="99"/>
    <w:semiHidden/>
    <w:unhideWhenUsed/>
    <w:rsid w:val="00AC4162"/>
    <w:rPr>
      <w:rFonts w:ascii="Times New Roman" w:hAnsi="Times New Roman" w:cs="Times New Roman"/>
    </w:rPr>
  </w:style>
  <w:style w:type="character" w:customStyle="1" w:styleId="arttextincomma">
    <w:name w:val="art_text_in_comma"/>
    <w:basedOn w:val="Carpredefinitoparagrafo"/>
    <w:rsid w:val="00BD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1C65B7-C1C4-42CD-91CB-7DFF95BC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</dc:creator>
  <cp:keywords/>
  <dc:description/>
  <cp:lastModifiedBy>Texone</cp:lastModifiedBy>
  <cp:revision>2</cp:revision>
  <cp:lastPrinted>2024-11-05T16:46:00Z</cp:lastPrinted>
  <dcterms:created xsi:type="dcterms:W3CDTF">2025-01-29T20:34:00Z</dcterms:created>
  <dcterms:modified xsi:type="dcterms:W3CDTF">2025-01-29T20:34:00Z</dcterms:modified>
</cp:coreProperties>
</file>