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E6DC" w14:textId="77777777" w:rsidR="00600AEC" w:rsidRDefault="00600AEC" w:rsidP="00600AEC">
      <w:pPr>
        <w:jc w:val="center"/>
        <w:rPr>
          <w:rFonts w:ascii="Arial" w:hAnsi="Arial" w:cs="Arial"/>
          <w:color w:val="333333"/>
          <w:sz w:val="23"/>
          <w:szCs w:val="23"/>
          <w:shd w:val="clear" w:color="auto" w:fill="FFFFFF"/>
        </w:rPr>
      </w:pPr>
    </w:p>
    <w:p w14:paraId="4A3E4C0E" w14:textId="77777777" w:rsidR="00600AEC" w:rsidRDefault="00600AEC" w:rsidP="00600AEC">
      <w:pPr>
        <w:jc w:val="center"/>
        <w:rPr>
          <w:rFonts w:ascii="Arial" w:hAnsi="Arial" w:cs="Arial"/>
          <w:color w:val="333333"/>
          <w:sz w:val="23"/>
          <w:szCs w:val="23"/>
          <w:shd w:val="clear" w:color="auto" w:fill="FFFFFF"/>
        </w:rPr>
      </w:pPr>
      <w:r>
        <w:rPr>
          <w:rFonts w:ascii="Arial" w:hAnsi="Arial" w:cs="Arial"/>
          <w:noProof/>
          <w:color w:val="333333"/>
          <w:sz w:val="23"/>
          <w:szCs w:val="23"/>
          <w:lang w:eastAsia="it-IT"/>
        </w:rPr>
        <w:drawing>
          <wp:anchor distT="0" distB="0" distL="114300" distR="114300" simplePos="0" relativeHeight="251659264" behindDoc="0" locked="0" layoutInCell="1" allowOverlap="1" wp14:anchorId="20C3DAE9" wp14:editId="14B1EB19">
            <wp:simplePos x="0" y="0"/>
            <wp:positionH relativeFrom="column">
              <wp:posOffset>2842260</wp:posOffset>
            </wp:positionH>
            <wp:positionV relativeFrom="line">
              <wp:posOffset>-175895</wp:posOffset>
            </wp:positionV>
            <wp:extent cx="989330" cy="1142365"/>
            <wp:effectExtent l="19050" t="0" r="1270" b="0"/>
            <wp:wrapSquare wrapText="right"/>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989330" cy="1142365"/>
                    </a:xfrm>
                    <a:prstGeom prst="rect">
                      <a:avLst/>
                    </a:prstGeom>
                    <a:noFill/>
                    <a:ln>
                      <a:noFill/>
                      <a:prstDash/>
                    </a:ln>
                  </pic:spPr>
                </pic:pic>
              </a:graphicData>
            </a:graphic>
          </wp:anchor>
        </w:drawing>
      </w:r>
    </w:p>
    <w:p w14:paraId="52F88F86" w14:textId="77777777" w:rsidR="00600AEC" w:rsidRDefault="00600AEC" w:rsidP="00600AEC">
      <w:pPr>
        <w:jc w:val="center"/>
        <w:rPr>
          <w:rFonts w:ascii="Arial" w:hAnsi="Arial" w:cs="Arial"/>
          <w:color w:val="333333"/>
          <w:sz w:val="23"/>
          <w:szCs w:val="23"/>
          <w:shd w:val="clear" w:color="auto" w:fill="FFFFFF"/>
        </w:rPr>
      </w:pPr>
    </w:p>
    <w:p w14:paraId="24A6EABD" w14:textId="77777777" w:rsidR="00600AEC" w:rsidRDefault="00600AEC" w:rsidP="00600AEC">
      <w:pPr>
        <w:jc w:val="center"/>
        <w:rPr>
          <w:rFonts w:ascii="Arial" w:hAnsi="Arial" w:cs="Arial"/>
          <w:color w:val="333333"/>
          <w:sz w:val="23"/>
          <w:szCs w:val="23"/>
          <w:shd w:val="clear" w:color="auto" w:fill="FFFFFF"/>
        </w:rPr>
      </w:pPr>
    </w:p>
    <w:p w14:paraId="32880D15" w14:textId="77777777" w:rsidR="00600AEC" w:rsidRDefault="00600AEC" w:rsidP="00600AEC">
      <w:pPr>
        <w:jc w:val="center"/>
        <w:rPr>
          <w:rFonts w:ascii="Arial" w:hAnsi="Arial" w:cs="Arial"/>
          <w:color w:val="333333"/>
          <w:sz w:val="23"/>
          <w:szCs w:val="23"/>
          <w:shd w:val="clear" w:color="auto" w:fill="FFFFFF"/>
        </w:rPr>
      </w:pPr>
    </w:p>
    <w:p w14:paraId="286AAFDA" w14:textId="77777777" w:rsidR="00600AEC" w:rsidRDefault="00600AEC" w:rsidP="00600AEC">
      <w:pPr>
        <w:pStyle w:val="Default"/>
        <w:ind w:firstLine="708"/>
        <w:jc w:val="center"/>
        <w:rPr>
          <w:rFonts w:ascii="Times New Roman" w:hAnsi="Times New Roman"/>
          <w:i/>
          <w:sz w:val="32"/>
          <w:szCs w:val="32"/>
        </w:rPr>
      </w:pPr>
    </w:p>
    <w:p w14:paraId="1FE91424" w14:textId="77777777" w:rsidR="00600AEC" w:rsidRPr="00600AEC" w:rsidRDefault="00600AEC" w:rsidP="00600AEC">
      <w:pPr>
        <w:pStyle w:val="Default"/>
        <w:ind w:firstLine="708"/>
        <w:rPr>
          <w:b/>
          <w:i/>
          <w:sz w:val="28"/>
          <w:szCs w:val="28"/>
        </w:rPr>
      </w:pPr>
      <w:r w:rsidRPr="00600AEC">
        <w:rPr>
          <w:rFonts w:ascii="Times New Roman" w:hAnsi="Times New Roman"/>
          <w:b/>
          <w:i/>
          <w:sz w:val="28"/>
          <w:szCs w:val="28"/>
        </w:rPr>
        <w:t>UNIONE NAZIONALE SEGRETARI COMUNALI E PROVINCIALI</w:t>
      </w:r>
    </w:p>
    <w:p w14:paraId="4BB669AA" w14:textId="77777777" w:rsidR="00600AEC" w:rsidRDefault="00600AEC" w:rsidP="00600AEC">
      <w:pPr>
        <w:pStyle w:val="Default"/>
        <w:rPr>
          <w:i/>
          <w:iCs/>
        </w:rPr>
      </w:pPr>
    </w:p>
    <w:p w14:paraId="30008EA1" w14:textId="77777777" w:rsidR="00600AEC" w:rsidRDefault="00600AEC" w:rsidP="00600AEC">
      <w:pPr>
        <w:pStyle w:val="Default"/>
        <w:jc w:val="right"/>
      </w:pPr>
    </w:p>
    <w:p w14:paraId="206C713C" w14:textId="77777777" w:rsidR="00600AEC" w:rsidRDefault="00600AEC" w:rsidP="00600AEC">
      <w:pPr>
        <w:jc w:val="center"/>
        <w:rPr>
          <w:rFonts w:ascii="Arial" w:hAnsi="Arial" w:cs="Arial"/>
          <w:color w:val="333333"/>
          <w:sz w:val="23"/>
          <w:szCs w:val="23"/>
          <w:shd w:val="clear" w:color="auto" w:fill="FFFFFF"/>
        </w:rPr>
      </w:pPr>
    </w:p>
    <w:p w14:paraId="3020ED59" w14:textId="3D2C46AD" w:rsidR="00CB3519" w:rsidRDefault="009D59DB" w:rsidP="00702281">
      <w:pPr>
        <w:jc w:val="center"/>
        <w:rPr>
          <w:rFonts w:ascii="Arial" w:hAnsi="Arial" w:cs="Arial"/>
          <w:i/>
          <w:color w:val="333333"/>
          <w:sz w:val="32"/>
          <w:szCs w:val="32"/>
          <w:shd w:val="clear" w:color="auto" w:fill="FFFFFF"/>
        </w:rPr>
      </w:pPr>
      <w:r w:rsidRPr="00600AEC">
        <w:rPr>
          <w:rFonts w:ascii="Arial" w:hAnsi="Arial" w:cs="Arial"/>
          <w:i/>
          <w:color w:val="333333"/>
          <w:sz w:val="32"/>
          <w:szCs w:val="32"/>
          <w:shd w:val="clear" w:color="auto" w:fill="FFFFFF"/>
        </w:rPr>
        <w:t xml:space="preserve">Audizione </w:t>
      </w:r>
      <w:r w:rsidR="00255823">
        <w:rPr>
          <w:rFonts w:ascii="Arial" w:hAnsi="Arial" w:cs="Arial"/>
          <w:i/>
          <w:color w:val="333333"/>
          <w:sz w:val="32"/>
          <w:szCs w:val="32"/>
          <w:shd w:val="clear" w:color="auto" w:fill="FFFFFF"/>
        </w:rPr>
        <w:t xml:space="preserve">informale </w:t>
      </w:r>
    </w:p>
    <w:p w14:paraId="2BCFCD13" w14:textId="77777777" w:rsidR="000C7EA1" w:rsidRDefault="000C7EA1" w:rsidP="00702281">
      <w:pPr>
        <w:jc w:val="center"/>
        <w:rPr>
          <w:rFonts w:ascii="Arial" w:hAnsi="Arial" w:cs="Arial"/>
          <w:i/>
          <w:color w:val="333333"/>
          <w:sz w:val="32"/>
          <w:szCs w:val="32"/>
          <w:shd w:val="clear" w:color="auto" w:fill="FFFFFF"/>
        </w:rPr>
      </w:pPr>
    </w:p>
    <w:p w14:paraId="5BA23E02" w14:textId="77777777" w:rsidR="000C7EA1" w:rsidRDefault="00CB3519" w:rsidP="00702281">
      <w:pPr>
        <w:jc w:val="center"/>
        <w:rPr>
          <w:rFonts w:ascii="Arial" w:hAnsi="Arial" w:cs="Arial"/>
          <w:i/>
          <w:color w:val="333333"/>
          <w:sz w:val="32"/>
          <w:szCs w:val="32"/>
          <w:shd w:val="clear" w:color="auto" w:fill="FFFFFF"/>
        </w:rPr>
      </w:pPr>
      <w:r>
        <w:rPr>
          <w:rFonts w:ascii="Arial" w:hAnsi="Arial" w:cs="Arial"/>
          <w:i/>
          <w:color w:val="333333"/>
          <w:sz w:val="32"/>
          <w:szCs w:val="32"/>
          <w:shd w:val="clear" w:color="auto" w:fill="FFFFFF"/>
        </w:rPr>
        <w:t>D</w:t>
      </w:r>
      <w:r w:rsidR="00702281" w:rsidRPr="00702281">
        <w:rPr>
          <w:rFonts w:ascii="Arial" w:hAnsi="Arial" w:cs="Arial"/>
          <w:i/>
          <w:color w:val="333333"/>
          <w:sz w:val="32"/>
          <w:szCs w:val="32"/>
          <w:shd w:val="clear" w:color="auto" w:fill="FFFFFF"/>
        </w:rPr>
        <w:t xml:space="preserve">isegno di legge C. 1114 </w:t>
      </w:r>
    </w:p>
    <w:p w14:paraId="1CD08CE3" w14:textId="2E9D17AE" w:rsidR="00600AEC" w:rsidRPr="00600AEC" w:rsidRDefault="00702281" w:rsidP="00702281">
      <w:pPr>
        <w:jc w:val="center"/>
        <w:rPr>
          <w:rFonts w:ascii="Arial" w:hAnsi="Arial" w:cs="Arial"/>
          <w:i/>
          <w:color w:val="333333"/>
          <w:sz w:val="32"/>
          <w:szCs w:val="32"/>
          <w:shd w:val="clear" w:color="auto" w:fill="FFFFFF"/>
        </w:rPr>
      </w:pPr>
      <w:r w:rsidRPr="00702281">
        <w:rPr>
          <w:rFonts w:ascii="Arial" w:hAnsi="Arial" w:cs="Arial"/>
          <w:i/>
          <w:color w:val="333333"/>
          <w:sz w:val="32"/>
          <w:szCs w:val="32"/>
          <w:shd w:val="clear" w:color="auto" w:fill="FFFFFF"/>
        </w:rPr>
        <w:t>di conversione del</w:t>
      </w:r>
      <w:r w:rsidR="000C7EA1">
        <w:rPr>
          <w:rFonts w:ascii="Arial" w:hAnsi="Arial" w:cs="Arial"/>
          <w:i/>
          <w:color w:val="333333"/>
          <w:sz w:val="32"/>
          <w:szCs w:val="32"/>
          <w:shd w:val="clear" w:color="auto" w:fill="FFFFFF"/>
        </w:rPr>
        <w:t xml:space="preserve"> </w:t>
      </w:r>
      <w:r w:rsidRPr="00702281">
        <w:rPr>
          <w:rFonts w:ascii="Arial" w:hAnsi="Arial" w:cs="Arial"/>
          <w:i/>
          <w:color w:val="333333"/>
          <w:sz w:val="32"/>
          <w:szCs w:val="32"/>
          <w:shd w:val="clear" w:color="auto" w:fill="FFFFFF"/>
        </w:rPr>
        <w:t>decreto-legge n. 44</w:t>
      </w:r>
      <w:r w:rsidR="00CB3519">
        <w:rPr>
          <w:rFonts w:ascii="Arial" w:hAnsi="Arial" w:cs="Arial"/>
          <w:i/>
          <w:color w:val="333333"/>
          <w:sz w:val="32"/>
          <w:szCs w:val="32"/>
          <w:shd w:val="clear" w:color="auto" w:fill="FFFFFF"/>
        </w:rPr>
        <w:t>/2</w:t>
      </w:r>
      <w:r w:rsidRPr="00702281">
        <w:rPr>
          <w:rFonts w:ascii="Arial" w:hAnsi="Arial" w:cs="Arial"/>
          <w:i/>
          <w:color w:val="333333"/>
          <w:sz w:val="32"/>
          <w:szCs w:val="32"/>
          <w:shd w:val="clear" w:color="auto" w:fill="FFFFFF"/>
        </w:rPr>
        <w:t>023 recante disposizioni urgenti per il rafforzamento della capacità amministrativa delle amministrazioni pubbliche</w:t>
      </w:r>
    </w:p>
    <w:p w14:paraId="07B9AEC5" w14:textId="77777777" w:rsidR="00600AEC" w:rsidRDefault="00600AEC" w:rsidP="00600AEC">
      <w:pPr>
        <w:jc w:val="center"/>
        <w:rPr>
          <w:rFonts w:ascii="Arial" w:hAnsi="Arial" w:cs="Arial"/>
          <w:color w:val="333333"/>
          <w:sz w:val="28"/>
          <w:szCs w:val="28"/>
          <w:shd w:val="clear" w:color="auto" w:fill="FFFFFF"/>
        </w:rPr>
      </w:pPr>
    </w:p>
    <w:p w14:paraId="797267EC" w14:textId="77777777" w:rsidR="00600AEC" w:rsidRDefault="00600AEC" w:rsidP="00600AEC">
      <w:pPr>
        <w:jc w:val="center"/>
        <w:rPr>
          <w:rFonts w:ascii="Arial" w:hAnsi="Arial" w:cs="Arial"/>
          <w:color w:val="333333"/>
          <w:sz w:val="28"/>
          <w:szCs w:val="28"/>
          <w:shd w:val="clear" w:color="auto" w:fill="FFFFFF"/>
        </w:rPr>
      </w:pPr>
    </w:p>
    <w:p w14:paraId="3509B6F4" w14:textId="77777777" w:rsidR="00600AEC" w:rsidRPr="00600AEC" w:rsidRDefault="00600AEC" w:rsidP="00600AEC">
      <w:pPr>
        <w:jc w:val="center"/>
        <w:rPr>
          <w:rFonts w:ascii="Arial" w:hAnsi="Arial" w:cs="Arial"/>
          <w:color w:val="333333"/>
          <w:sz w:val="28"/>
          <w:szCs w:val="28"/>
          <w:shd w:val="clear" w:color="auto" w:fill="FFFFFF"/>
        </w:rPr>
      </w:pPr>
    </w:p>
    <w:p w14:paraId="50BC8FF9" w14:textId="77777777" w:rsidR="00600AEC" w:rsidRPr="00600AEC" w:rsidRDefault="00600AEC" w:rsidP="00600AEC">
      <w:pPr>
        <w:jc w:val="center"/>
        <w:rPr>
          <w:rFonts w:ascii="Arial" w:hAnsi="Arial" w:cs="Arial"/>
          <w:color w:val="333333"/>
          <w:sz w:val="28"/>
          <w:szCs w:val="28"/>
          <w:shd w:val="clear" w:color="auto" w:fill="FFFFFF"/>
        </w:rPr>
      </w:pPr>
    </w:p>
    <w:p w14:paraId="6CEC1B6C" w14:textId="77777777" w:rsidR="00600AEC" w:rsidRPr="00600AEC" w:rsidRDefault="00600AEC" w:rsidP="00600AEC">
      <w:pPr>
        <w:jc w:val="center"/>
        <w:rPr>
          <w:rFonts w:ascii="Arial" w:hAnsi="Arial" w:cs="Arial"/>
          <w:color w:val="333333"/>
          <w:sz w:val="28"/>
          <w:szCs w:val="28"/>
          <w:shd w:val="clear" w:color="auto" w:fill="FFFFFF"/>
        </w:rPr>
      </w:pPr>
    </w:p>
    <w:p w14:paraId="38E4E184" w14:textId="776FF80F" w:rsidR="00600AEC" w:rsidRPr="00DA6C6B" w:rsidRDefault="00255823" w:rsidP="00DA6C6B">
      <w:pPr>
        <w:jc w:val="center"/>
        <w:rPr>
          <w:rFonts w:ascii="Arial" w:hAnsi="Arial" w:cs="Arial"/>
          <w:i/>
          <w:color w:val="333333"/>
          <w:sz w:val="28"/>
          <w:szCs w:val="28"/>
          <w:shd w:val="clear" w:color="auto" w:fill="FFFFFF"/>
        </w:rPr>
      </w:pPr>
      <w:r w:rsidRPr="00255823">
        <w:rPr>
          <w:rFonts w:ascii="Arial" w:hAnsi="Arial" w:cs="Arial"/>
          <w:i/>
          <w:color w:val="333333"/>
          <w:sz w:val="28"/>
          <w:szCs w:val="28"/>
          <w:shd w:val="clear" w:color="auto" w:fill="FFFFFF"/>
        </w:rPr>
        <w:t>Camera dei Deputati</w:t>
      </w:r>
    </w:p>
    <w:p w14:paraId="2948DA37" w14:textId="4F2815F2" w:rsidR="00255823" w:rsidRDefault="00255823" w:rsidP="00443F95">
      <w:pPr>
        <w:jc w:val="center"/>
        <w:rPr>
          <w:rFonts w:ascii="Arial" w:hAnsi="Arial" w:cs="Arial"/>
          <w:i/>
          <w:color w:val="333333"/>
          <w:sz w:val="28"/>
          <w:szCs w:val="28"/>
          <w:shd w:val="clear" w:color="auto" w:fill="FFFFFF"/>
        </w:rPr>
      </w:pPr>
      <w:r w:rsidRPr="00255823">
        <w:rPr>
          <w:rFonts w:ascii="Arial" w:hAnsi="Arial" w:cs="Arial"/>
          <w:i/>
          <w:color w:val="333333"/>
          <w:sz w:val="28"/>
          <w:szCs w:val="28"/>
          <w:shd w:val="clear" w:color="auto" w:fill="FFFFFF"/>
        </w:rPr>
        <w:t xml:space="preserve">Commissioni riunite I (Affari costituzionali) e XI (Lavoro pubblico e privato) </w:t>
      </w:r>
    </w:p>
    <w:p w14:paraId="50E038E3" w14:textId="0EE8CA8B" w:rsidR="00600AEC" w:rsidRPr="00DA6C6B" w:rsidRDefault="00600AEC" w:rsidP="00443F95">
      <w:pPr>
        <w:jc w:val="center"/>
        <w:rPr>
          <w:rFonts w:ascii="Arial" w:hAnsi="Arial" w:cs="Arial"/>
          <w:i/>
          <w:color w:val="333333"/>
          <w:sz w:val="28"/>
          <w:szCs w:val="28"/>
          <w:shd w:val="clear" w:color="auto" w:fill="FFFFFF"/>
        </w:rPr>
      </w:pPr>
      <w:r w:rsidRPr="00DA6C6B">
        <w:rPr>
          <w:rFonts w:ascii="Arial" w:hAnsi="Arial" w:cs="Arial"/>
          <w:i/>
          <w:color w:val="333333"/>
          <w:sz w:val="28"/>
          <w:szCs w:val="28"/>
          <w:shd w:val="clear" w:color="auto" w:fill="FFFFFF"/>
        </w:rPr>
        <w:t xml:space="preserve">Roma, </w:t>
      </w:r>
      <w:r w:rsidR="00E95150">
        <w:rPr>
          <w:rFonts w:ascii="Arial" w:hAnsi="Arial" w:cs="Arial"/>
          <w:i/>
          <w:color w:val="333333"/>
          <w:sz w:val="28"/>
          <w:szCs w:val="28"/>
          <w:shd w:val="clear" w:color="auto" w:fill="FFFFFF"/>
        </w:rPr>
        <w:t>9 maggi</w:t>
      </w:r>
      <w:r w:rsidR="00443F95">
        <w:rPr>
          <w:rFonts w:ascii="Arial" w:hAnsi="Arial" w:cs="Arial"/>
          <w:i/>
          <w:color w:val="333333"/>
          <w:sz w:val="28"/>
          <w:szCs w:val="28"/>
          <w:shd w:val="clear" w:color="auto" w:fill="FFFFFF"/>
        </w:rPr>
        <w:t>o</w:t>
      </w:r>
      <w:r w:rsidRPr="00DA6C6B">
        <w:rPr>
          <w:rFonts w:ascii="Arial" w:hAnsi="Arial" w:cs="Arial"/>
          <w:i/>
          <w:color w:val="333333"/>
          <w:sz w:val="28"/>
          <w:szCs w:val="28"/>
          <w:shd w:val="clear" w:color="auto" w:fill="FFFFFF"/>
        </w:rPr>
        <w:t xml:space="preserve"> 20</w:t>
      </w:r>
      <w:r w:rsidR="009A6837">
        <w:rPr>
          <w:rFonts w:ascii="Arial" w:hAnsi="Arial" w:cs="Arial"/>
          <w:i/>
          <w:color w:val="333333"/>
          <w:sz w:val="28"/>
          <w:szCs w:val="28"/>
          <w:shd w:val="clear" w:color="auto" w:fill="FFFFFF"/>
        </w:rPr>
        <w:t>23</w:t>
      </w:r>
    </w:p>
    <w:p w14:paraId="44F32F69" w14:textId="77777777" w:rsidR="00600AEC" w:rsidRDefault="00600AEC">
      <w:pPr>
        <w:rPr>
          <w:rFonts w:ascii="Times New Roman" w:hAnsi="Times New Roman" w:cs="Times New Roman"/>
          <w:b/>
          <w:sz w:val="24"/>
          <w:szCs w:val="24"/>
        </w:rPr>
      </w:pPr>
    </w:p>
    <w:p w14:paraId="406EABE8" w14:textId="77777777" w:rsidR="00600AEC" w:rsidRDefault="00600AEC">
      <w:pPr>
        <w:rPr>
          <w:rFonts w:ascii="Times New Roman" w:hAnsi="Times New Roman" w:cs="Times New Roman"/>
          <w:b/>
          <w:sz w:val="24"/>
          <w:szCs w:val="24"/>
        </w:rPr>
      </w:pPr>
      <w:r>
        <w:rPr>
          <w:rFonts w:ascii="Times New Roman" w:hAnsi="Times New Roman" w:cs="Times New Roman"/>
          <w:b/>
          <w:sz w:val="24"/>
          <w:szCs w:val="24"/>
        </w:rPr>
        <w:br w:type="page"/>
      </w:r>
    </w:p>
    <w:p w14:paraId="70C5B82C" w14:textId="77777777" w:rsidR="00600AEC" w:rsidRPr="00FC365D" w:rsidRDefault="00600AEC" w:rsidP="00FC365D">
      <w:pPr>
        <w:spacing w:line="360" w:lineRule="auto"/>
        <w:jc w:val="center"/>
        <w:rPr>
          <w:rFonts w:ascii="Times New Roman" w:hAnsi="Times New Roman" w:cs="Times New Roman"/>
          <w:b/>
          <w:sz w:val="28"/>
          <w:szCs w:val="28"/>
        </w:rPr>
      </w:pPr>
      <w:r w:rsidRPr="00FC365D">
        <w:rPr>
          <w:rFonts w:ascii="Times New Roman" w:hAnsi="Times New Roman" w:cs="Times New Roman"/>
          <w:b/>
          <w:sz w:val="28"/>
          <w:szCs w:val="28"/>
        </w:rPr>
        <w:lastRenderedPageBreak/>
        <w:t>Premessa</w:t>
      </w:r>
    </w:p>
    <w:p w14:paraId="51301B80" w14:textId="4A06DBCD" w:rsidR="002B67DF" w:rsidRDefault="00B551E9" w:rsidP="002C0BF2">
      <w:pPr>
        <w:spacing w:line="360" w:lineRule="auto"/>
        <w:jc w:val="both"/>
        <w:rPr>
          <w:rFonts w:ascii="Times New Roman" w:hAnsi="Times New Roman" w:cs="Times New Roman"/>
          <w:sz w:val="28"/>
          <w:szCs w:val="28"/>
        </w:rPr>
      </w:pPr>
      <w:r w:rsidRPr="00FC365D">
        <w:rPr>
          <w:rFonts w:ascii="Times New Roman" w:hAnsi="Times New Roman" w:cs="Times New Roman"/>
          <w:sz w:val="28"/>
          <w:szCs w:val="28"/>
        </w:rPr>
        <w:t>Con il presente documento si vuole fornire un contributo</w:t>
      </w:r>
      <w:r w:rsidR="006A0085">
        <w:rPr>
          <w:rFonts w:ascii="Times New Roman" w:hAnsi="Times New Roman" w:cs="Times New Roman"/>
          <w:sz w:val="28"/>
          <w:szCs w:val="28"/>
        </w:rPr>
        <w:t>,</w:t>
      </w:r>
      <w:r w:rsidRPr="00FC365D">
        <w:rPr>
          <w:rFonts w:ascii="Times New Roman" w:hAnsi="Times New Roman" w:cs="Times New Roman"/>
          <w:sz w:val="28"/>
          <w:szCs w:val="28"/>
        </w:rPr>
        <w:t xml:space="preserve"> </w:t>
      </w:r>
      <w:r w:rsidR="006A0085" w:rsidRPr="00FC365D">
        <w:rPr>
          <w:rFonts w:ascii="Times New Roman" w:hAnsi="Times New Roman" w:cs="Times New Roman"/>
          <w:sz w:val="28"/>
          <w:szCs w:val="28"/>
        </w:rPr>
        <w:t xml:space="preserve">dal punto di vista dei </w:t>
      </w:r>
      <w:r w:rsidR="00BD3D38">
        <w:rPr>
          <w:rFonts w:ascii="Times New Roman" w:hAnsi="Times New Roman" w:cs="Times New Roman"/>
          <w:sz w:val="28"/>
          <w:szCs w:val="28"/>
        </w:rPr>
        <w:t>segretari</w:t>
      </w:r>
      <w:r w:rsidR="006A0085" w:rsidRPr="00FC365D">
        <w:rPr>
          <w:rFonts w:ascii="Times New Roman" w:hAnsi="Times New Roman" w:cs="Times New Roman"/>
          <w:sz w:val="28"/>
          <w:szCs w:val="28"/>
        </w:rPr>
        <w:t xml:space="preserve"> comunali e provinciali</w:t>
      </w:r>
      <w:r w:rsidR="006A0085">
        <w:rPr>
          <w:rFonts w:ascii="Times New Roman" w:hAnsi="Times New Roman" w:cs="Times New Roman"/>
          <w:sz w:val="28"/>
          <w:szCs w:val="28"/>
        </w:rPr>
        <w:t>,</w:t>
      </w:r>
      <w:r w:rsidR="006A0085" w:rsidRPr="00FC365D">
        <w:rPr>
          <w:rFonts w:ascii="Times New Roman" w:hAnsi="Times New Roman" w:cs="Times New Roman"/>
          <w:sz w:val="28"/>
          <w:szCs w:val="28"/>
        </w:rPr>
        <w:t xml:space="preserve"> </w:t>
      </w:r>
      <w:r w:rsidRPr="00FC365D">
        <w:rPr>
          <w:rFonts w:ascii="Times New Roman" w:hAnsi="Times New Roman" w:cs="Times New Roman"/>
          <w:sz w:val="28"/>
          <w:szCs w:val="28"/>
        </w:rPr>
        <w:t xml:space="preserve">nell'ambito </w:t>
      </w:r>
      <w:r w:rsidR="003D6FA7" w:rsidRPr="003D6FA7">
        <w:rPr>
          <w:rFonts w:ascii="Times New Roman" w:hAnsi="Times New Roman" w:cs="Times New Roman"/>
          <w:sz w:val="28"/>
          <w:szCs w:val="28"/>
        </w:rPr>
        <w:t>dell’esame</w:t>
      </w:r>
      <w:r w:rsidR="003D6FA7">
        <w:rPr>
          <w:rFonts w:ascii="Times New Roman" w:hAnsi="Times New Roman" w:cs="Times New Roman"/>
          <w:sz w:val="28"/>
          <w:szCs w:val="28"/>
        </w:rPr>
        <w:t xml:space="preserve"> del</w:t>
      </w:r>
      <w:r w:rsidRPr="00FC365D">
        <w:rPr>
          <w:rFonts w:ascii="Times New Roman" w:hAnsi="Times New Roman" w:cs="Times New Roman"/>
          <w:sz w:val="28"/>
          <w:szCs w:val="28"/>
        </w:rPr>
        <w:t xml:space="preserve"> </w:t>
      </w:r>
      <w:r w:rsidR="002C0BF2" w:rsidRPr="002C0BF2">
        <w:rPr>
          <w:rFonts w:ascii="Times New Roman" w:hAnsi="Times New Roman" w:cs="Times New Roman"/>
          <w:sz w:val="28"/>
          <w:szCs w:val="28"/>
        </w:rPr>
        <w:t>Disegno di legge C. 1114</w:t>
      </w:r>
      <w:r w:rsidR="002C0BF2">
        <w:rPr>
          <w:rFonts w:ascii="Times New Roman" w:hAnsi="Times New Roman" w:cs="Times New Roman"/>
          <w:sz w:val="28"/>
          <w:szCs w:val="28"/>
        </w:rPr>
        <w:t xml:space="preserve"> </w:t>
      </w:r>
      <w:r w:rsidR="002C0BF2" w:rsidRPr="002C0BF2">
        <w:rPr>
          <w:rFonts w:ascii="Times New Roman" w:hAnsi="Times New Roman" w:cs="Times New Roman"/>
          <w:sz w:val="28"/>
          <w:szCs w:val="28"/>
        </w:rPr>
        <w:t>di conversione del decreto-legge n. 44/2023 recante disposizioni urgenti per il rafforzamento della capacità amministrativa delle amministrazioni pubbliche</w:t>
      </w:r>
      <w:r w:rsidR="002B67DF">
        <w:rPr>
          <w:rFonts w:ascii="Times New Roman" w:hAnsi="Times New Roman" w:cs="Times New Roman"/>
          <w:sz w:val="28"/>
          <w:szCs w:val="28"/>
        </w:rPr>
        <w:t>.</w:t>
      </w:r>
    </w:p>
    <w:p w14:paraId="224A5D1E" w14:textId="694FCA4C" w:rsidR="00617CF3" w:rsidRDefault="00DF5FDC" w:rsidP="00617CF3">
      <w:pPr>
        <w:spacing w:line="360" w:lineRule="auto"/>
        <w:jc w:val="both"/>
        <w:rPr>
          <w:rFonts w:ascii="Times New Roman" w:hAnsi="Times New Roman" w:cs="Times New Roman"/>
          <w:sz w:val="28"/>
          <w:szCs w:val="28"/>
        </w:rPr>
      </w:pPr>
      <w:r>
        <w:rPr>
          <w:rFonts w:ascii="Times New Roman" w:hAnsi="Times New Roman" w:cs="Times New Roman"/>
          <w:sz w:val="28"/>
          <w:szCs w:val="28"/>
        </w:rPr>
        <w:t>L’art. 3, comma 6 del D.L.</w:t>
      </w:r>
      <w:r w:rsidRPr="00DF5FDC">
        <w:rPr>
          <w:rFonts w:ascii="Times New Roman" w:hAnsi="Times New Roman" w:cs="Times New Roman"/>
          <w:sz w:val="28"/>
          <w:szCs w:val="28"/>
        </w:rPr>
        <w:t xml:space="preserve"> n. 44/2023</w:t>
      </w:r>
      <w:r>
        <w:rPr>
          <w:rFonts w:ascii="Times New Roman" w:hAnsi="Times New Roman" w:cs="Times New Roman"/>
          <w:sz w:val="28"/>
          <w:szCs w:val="28"/>
        </w:rPr>
        <w:t xml:space="preserve"> </w:t>
      </w:r>
      <w:r w:rsidR="00F15277">
        <w:rPr>
          <w:rFonts w:ascii="Times New Roman" w:hAnsi="Times New Roman" w:cs="Times New Roman"/>
          <w:sz w:val="28"/>
          <w:szCs w:val="28"/>
        </w:rPr>
        <w:t xml:space="preserve">prevede </w:t>
      </w:r>
      <w:r w:rsidR="000E0F3E">
        <w:rPr>
          <w:rFonts w:ascii="Times New Roman" w:hAnsi="Times New Roman" w:cs="Times New Roman"/>
          <w:sz w:val="28"/>
          <w:szCs w:val="28"/>
        </w:rPr>
        <w:t>p</w:t>
      </w:r>
      <w:r w:rsidR="000E0F3E" w:rsidRPr="000E0F3E">
        <w:rPr>
          <w:rFonts w:ascii="Times New Roman" w:hAnsi="Times New Roman" w:cs="Times New Roman"/>
          <w:sz w:val="28"/>
          <w:szCs w:val="28"/>
        </w:rPr>
        <w:t>er gli anni 2023-2026</w:t>
      </w:r>
      <w:r w:rsidR="00617CF3" w:rsidRPr="00617CF3">
        <w:rPr>
          <w:rFonts w:ascii="Times New Roman" w:hAnsi="Times New Roman" w:cs="Times New Roman"/>
          <w:sz w:val="28"/>
          <w:szCs w:val="28"/>
        </w:rPr>
        <w:t xml:space="preserve">, </w:t>
      </w:r>
      <w:r w:rsidR="000E0F3E">
        <w:rPr>
          <w:rFonts w:ascii="Times New Roman" w:hAnsi="Times New Roman" w:cs="Times New Roman"/>
          <w:sz w:val="28"/>
          <w:szCs w:val="28"/>
        </w:rPr>
        <w:t>“</w:t>
      </w:r>
      <w:r w:rsidR="00617CF3" w:rsidRPr="00A30450">
        <w:rPr>
          <w:rFonts w:ascii="Times New Roman" w:hAnsi="Times New Roman" w:cs="Times New Roman"/>
          <w:i/>
          <w:iCs/>
          <w:sz w:val="28"/>
          <w:szCs w:val="28"/>
        </w:rPr>
        <w:t>al fine di offrire una più stabile soluzione al problema della spesa del trattamento economico del segretario nei piccoli comuni</w:t>
      </w:r>
      <w:r w:rsidR="000E0F3E">
        <w:rPr>
          <w:rFonts w:ascii="Times New Roman" w:hAnsi="Times New Roman" w:cs="Times New Roman"/>
          <w:sz w:val="28"/>
          <w:szCs w:val="28"/>
        </w:rPr>
        <w:t>”</w:t>
      </w:r>
      <w:r w:rsidR="00617CF3" w:rsidRPr="00617CF3">
        <w:rPr>
          <w:rFonts w:ascii="Times New Roman" w:hAnsi="Times New Roman" w:cs="Times New Roman"/>
          <w:sz w:val="28"/>
          <w:szCs w:val="28"/>
        </w:rPr>
        <w:t xml:space="preserve">, </w:t>
      </w:r>
      <w:r w:rsidR="000E0F3E">
        <w:rPr>
          <w:rFonts w:ascii="Times New Roman" w:hAnsi="Times New Roman" w:cs="Times New Roman"/>
          <w:sz w:val="28"/>
          <w:szCs w:val="28"/>
        </w:rPr>
        <w:t xml:space="preserve">di </w:t>
      </w:r>
      <w:r w:rsidR="00617CF3" w:rsidRPr="00617CF3">
        <w:rPr>
          <w:rFonts w:ascii="Times New Roman" w:hAnsi="Times New Roman" w:cs="Times New Roman"/>
          <w:sz w:val="28"/>
          <w:szCs w:val="28"/>
        </w:rPr>
        <w:t>esclude</w:t>
      </w:r>
      <w:r w:rsidR="000E0F3E">
        <w:rPr>
          <w:rFonts w:ascii="Times New Roman" w:hAnsi="Times New Roman" w:cs="Times New Roman"/>
          <w:sz w:val="28"/>
          <w:szCs w:val="28"/>
        </w:rPr>
        <w:t>re</w:t>
      </w:r>
      <w:r w:rsidR="00617CF3" w:rsidRPr="00617CF3">
        <w:rPr>
          <w:rFonts w:ascii="Times New Roman" w:hAnsi="Times New Roman" w:cs="Times New Roman"/>
          <w:sz w:val="28"/>
          <w:szCs w:val="28"/>
        </w:rPr>
        <w:t xml:space="preserve"> </w:t>
      </w:r>
      <w:r w:rsidR="000E0F3E">
        <w:rPr>
          <w:rFonts w:ascii="Times New Roman" w:hAnsi="Times New Roman" w:cs="Times New Roman"/>
          <w:sz w:val="28"/>
          <w:szCs w:val="28"/>
        </w:rPr>
        <w:t>“</w:t>
      </w:r>
      <w:r w:rsidR="00617CF3" w:rsidRPr="00A30450">
        <w:rPr>
          <w:rFonts w:ascii="Times New Roman" w:hAnsi="Times New Roman" w:cs="Times New Roman"/>
          <w:i/>
          <w:iCs/>
          <w:sz w:val="28"/>
          <w:szCs w:val="28"/>
        </w:rPr>
        <w:t>il trattamento economico dal computo degli attuali tetti di spesa del personale, complessivi e di trattamento accessorio. A tal proposito, si rappresenta che molti nuovi iscritti all’Albo non riescono ad ottenere la prima nomina proprio a causa delle difficoltà per i piccoli enti di rispettare i vincoli in materia di spesa di personale. In altri termini, le difficoltà non riguardano soltanto, e in ogni caso non sempre, la reale disponibilità economica dell’ente, ma spesse le stesse consistono nell’impossibilità per l’ente di rispettare i vincoli di spesa per il personale</w:t>
      </w:r>
      <w:r w:rsidR="00A30450">
        <w:rPr>
          <w:rFonts w:ascii="Times New Roman" w:hAnsi="Times New Roman" w:cs="Times New Roman"/>
          <w:sz w:val="28"/>
          <w:szCs w:val="28"/>
        </w:rPr>
        <w:t>” (così la relazione illustrativa al D.L. n. 44/2023)</w:t>
      </w:r>
      <w:r w:rsidR="00617CF3" w:rsidRPr="00617CF3">
        <w:rPr>
          <w:rFonts w:ascii="Times New Roman" w:hAnsi="Times New Roman" w:cs="Times New Roman"/>
          <w:sz w:val="28"/>
          <w:szCs w:val="28"/>
        </w:rPr>
        <w:t>.</w:t>
      </w:r>
    </w:p>
    <w:p w14:paraId="1D1BCE8A" w14:textId="03B7C7A5" w:rsidR="0007203B" w:rsidRPr="00617CF3" w:rsidRDefault="0007203B" w:rsidP="00617C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norma, pur diretta a risolvere un problema </w:t>
      </w:r>
      <w:r w:rsidR="00165274">
        <w:rPr>
          <w:rFonts w:ascii="Times New Roman" w:hAnsi="Times New Roman" w:cs="Times New Roman"/>
          <w:sz w:val="28"/>
          <w:szCs w:val="28"/>
        </w:rPr>
        <w:t xml:space="preserve">molto importante, nella formulazione concreta appare </w:t>
      </w:r>
      <w:r w:rsidR="00702865">
        <w:rPr>
          <w:rFonts w:ascii="Times New Roman" w:hAnsi="Times New Roman" w:cs="Times New Roman"/>
          <w:sz w:val="28"/>
          <w:szCs w:val="28"/>
        </w:rPr>
        <w:t xml:space="preserve">condurre ad un esito difforme rispetto </w:t>
      </w:r>
      <w:r w:rsidR="004B3733">
        <w:rPr>
          <w:rFonts w:ascii="Times New Roman" w:hAnsi="Times New Roman" w:cs="Times New Roman"/>
          <w:sz w:val="28"/>
          <w:szCs w:val="28"/>
        </w:rPr>
        <w:t>a quello avuto di mira, come si avrà modo di evidenziare nel presente documento (pagg. 6 e seguenti).</w:t>
      </w:r>
    </w:p>
    <w:p w14:paraId="38FEFDE1" w14:textId="77777777" w:rsidR="0007203B" w:rsidRDefault="0007203B" w:rsidP="0007203B">
      <w:pPr>
        <w:spacing w:line="360" w:lineRule="auto"/>
        <w:jc w:val="both"/>
        <w:rPr>
          <w:rFonts w:ascii="Times New Roman" w:hAnsi="Times New Roman" w:cs="Times New Roman"/>
          <w:sz w:val="28"/>
          <w:szCs w:val="28"/>
        </w:rPr>
      </w:pPr>
      <w:r>
        <w:rPr>
          <w:rFonts w:ascii="Times New Roman" w:hAnsi="Times New Roman" w:cs="Times New Roman"/>
          <w:sz w:val="28"/>
          <w:szCs w:val="28"/>
        </w:rPr>
        <w:t>Nel presente contributo si analizzeranno nell’ordine:</w:t>
      </w:r>
    </w:p>
    <w:p w14:paraId="295E7DE0" w14:textId="77777777" w:rsidR="0007203B" w:rsidRDefault="0007203B" w:rsidP="0007203B">
      <w:pPr>
        <w:pStyle w:val="Paragrafoelenco"/>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il ruolo fondamentale dei Segretari comunali nel sistema delle autonomie;</w:t>
      </w:r>
    </w:p>
    <w:p w14:paraId="290FCBC0" w14:textId="77777777" w:rsidR="0007203B" w:rsidRDefault="0007203B" w:rsidP="0007203B">
      <w:pPr>
        <w:pStyle w:val="Paragrafoelenco"/>
        <w:numPr>
          <w:ilvl w:val="0"/>
          <w:numId w:val="9"/>
        </w:numPr>
        <w:spacing w:line="360" w:lineRule="auto"/>
        <w:jc w:val="both"/>
        <w:rPr>
          <w:rFonts w:ascii="Times New Roman" w:hAnsi="Times New Roman" w:cs="Times New Roman"/>
          <w:sz w:val="28"/>
          <w:szCs w:val="28"/>
        </w:rPr>
      </w:pPr>
      <w:r w:rsidRPr="008D79F9">
        <w:rPr>
          <w:rFonts w:ascii="Times New Roman" w:hAnsi="Times New Roman" w:cs="Times New Roman"/>
          <w:sz w:val="28"/>
          <w:szCs w:val="28"/>
        </w:rPr>
        <w:t xml:space="preserve">i recenti interventi del legislatore per rimediare alla carenza di </w:t>
      </w:r>
      <w:r>
        <w:rPr>
          <w:rFonts w:ascii="Times New Roman" w:hAnsi="Times New Roman" w:cs="Times New Roman"/>
          <w:sz w:val="28"/>
          <w:szCs w:val="28"/>
        </w:rPr>
        <w:t xml:space="preserve">segretari al fine di </w:t>
      </w:r>
      <w:r w:rsidRPr="008D79F9">
        <w:rPr>
          <w:rFonts w:ascii="Times New Roman" w:hAnsi="Times New Roman" w:cs="Times New Roman"/>
          <w:sz w:val="28"/>
          <w:szCs w:val="28"/>
        </w:rPr>
        <w:t>supportare gli enti locali per l’attuazione degli interventi e la realizzazione degli obiettivi previsti dal Piano nazionale di ripresa e resilienza (PNRR);</w:t>
      </w:r>
    </w:p>
    <w:p w14:paraId="20B41E66" w14:textId="45ED0277" w:rsidR="0007203B" w:rsidRPr="00095EE4" w:rsidRDefault="0007203B" w:rsidP="005F6CA6">
      <w:pPr>
        <w:pStyle w:val="Paragrafoelenco"/>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l’intervento previsto dall’art. 3, comma 6, del decreto legge 44/2023, gli aspetti critici dello stesso e i </w:t>
      </w:r>
      <w:r w:rsidR="00BE23DE">
        <w:rPr>
          <w:rFonts w:ascii="Times New Roman" w:hAnsi="Times New Roman" w:cs="Times New Roman"/>
          <w:sz w:val="28"/>
          <w:szCs w:val="28"/>
        </w:rPr>
        <w:t>c</w:t>
      </w:r>
      <w:r>
        <w:rPr>
          <w:rFonts w:ascii="Times New Roman" w:hAnsi="Times New Roman" w:cs="Times New Roman"/>
          <w:sz w:val="28"/>
          <w:szCs w:val="28"/>
        </w:rPr>
        <w:t>orrettivi</w:t>
      </w:r>
      <w:r w:rsidR="00BE23DE">
        <w:rPr>
          <w:rFonts w:ascii="Times New Roman" w:hAnsi="Times New Roman" w:cs="Times New Roman"/>
          <w:sz w:val="28"/>
          <w:szCs w:val="28"/>
        </w:rPr>
        <w:t xml:space="preserve"> a</w:t>
      </w:r>
      <w:r w:rsidR="004A6D06">
        <w:rPr>
          <w:rFonts w:ascii="Times New Roman" w:hAnsi="Times New Roman" w:cs="Times New Roman"/>
          <w:sz w:val="28"/>
          <w:szCs w:val="28"/>
        </w:rPr>
        <w:t>uspicati</w:t>
      </w:r>
      <w:r w:rsidR="00095EE4">
        <w:rPr>
          <w:rFonts w:ascii="Times New Roman" w:hAnsi="Times New Roman" w:cs="Times New Roman"/>
          <w:sz w:val="28"/>
          <w:szCs w:val="28"/>
        </w:rPr>
        <w:t>.</w:t>
      </w:r>
    </w:p>
    <w:p w14:paraId="1205D631" w14:textId="730B72C8" w:rsidR="00165274" w:rsidRPr="00165274" w:rsidRDefault="00165274" w:rsidP="005F6CA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Pr="00165274">
        <w:rPr>
          <w:rFonts w:ascii="Times New Roman" w:hAnsi="Times New Roman" w:cs="Times New Roman"/>
          <w:b/>
          <w:bCs/>
          <w:sz w:val="28"/>
          <w:szCs w:val="28"/>
        </w:rPr>
        <w:t>l ruolo fondamentale dei Segretari comunali nel sistema delle autonomie</w:t>
      </w:r>
    </w:p>
    <w:p w14:paraId="553D3090" w14:textId="60A416A6" w:rsidR="005F6CA6" w:rsidRPr="005F6CA6" w:rsidRDefault="0020151A" w:rsidP="005F6CA6">
      <w:pPr>
        <w:spacing w:line="360" w:lineRule="auto"/>
        <w:jc w:val="both"/>
        <w:rPr>
          <w:rFonts w:ascii="Times New Roman" w:hAnsi="Times New Roman" w:cs="Times New Roman"/>
          <w:sz w:val="28"/>
          <w:szCs w:val="28"/>
        </w:rPr>
      </w:pPr>
      <w:r w:rsidRPr="00FC365D">
        <w:rPr>
          <w:rFonts w:ascii="Times New Roman" w:hAnsi="Times New Roman" w:cs="Times New Roman"/>
          <w:sz w:val="28"/>
          <w:szCs w:val="28"/>
        </w:rPr>
        <w:lastRenderedPageBreak/>
        <w:t>I</w:t>
      </w:r>
      <w:r w:rsidR="00B551E9" w:rsidRPr="00FC365D">
        <w:rPr>
          <w:rFonts w:ascii="Times New Roman" w:hAnsi="Times New Roman" w:cs="Times New Roman"/>
          <w:sz w:val="28"/>
          <w:szCs w:val="28"/>
        </w:rPr>
        <w:t xml:space="preserve"> </w:t>
      </w:r>
      <w:r w:rsidR="00BD3D38">
        <w:rPr>
          <w:rFonts w:ascii="Times New Roman" w:hAnsi="Times New Roman" w:cs="Times New Roman"/>
          <w:sz w:val="28"/>
          <w:szCs w:val="28"/>
        </w:rPr>
        <w:t>segretari</w:t>
      </w:r>
      <w:r w:rsidR="00B551E9" w:rsidRPr="00FC365D">
        <w:rPr>
          <w:rFonts w:ascii="Times New Roman" w:hAnsi="Times New Roman" w:cs="Times New Roman"/>
          <w:sz w:val="28"/>
          <w:szCs w:val="28"/>
        </w:rPr>
        <w:t xml:space="preserve"> svolgono funzioni </w:t>
      </w:r>
      <w:r w:rsidRPr="00FC365D">
        <w:rPr>
          <w:rFonts w:ascii="Times New Roman" w:hAnsi="Times New Roman" w:cs="Times New Roman"/>
          <w:sz w:val="28"/>
          <w:szCs w:val="28"/>
        </w:rPr>
        <w:t xml:space="preserve">multiformi e </w:t>
      </w:r>
      <w:r w:rsidR="00B551E9" w:rsidRPr="00FC365D">
        <w:rPr>
          <w:rFonts w:ascii="Times New Roman" w:hAnsi="Times New Roman" w:cs="Times New Roman"/>
          <w:sz w:val="28"/>
          <w:szCs w:val="28"/>
        </w:rPr>
        <w:t>centrali nel sistema amministrativo degli enti locali</w:t>
      </w:r>
      <w:r w:rsidRPr="00FC365D">
        <w:rPr>
          <w:rStyle w:val="Rimandonotaapidipagina"/>
          <w:rFonts w:ascii="Times New Roman" w:hAnsi="Times New Roman" w:cs="Times New Roman"/>
          <w:sz w:val="28"/>
          <w:szCs w:val="28"/>
        </w:rPr>
        <w:footnoteReference w:id="1"/>
      </w:r>
      <w:r w:rsidR="008D1F5E">
        <w:rPr>
          <w:rFonts w:ascii="Times New Roman" w:hAnsi="Times New Roman" w:cs="Times New Roman"/>
          <w:sz w:val="28"/>
          <w:szCs w:val="28"/>
        </w:rPr>
        <w:t xml:space="preserve"> e </w:t>
      </w:r>
      <w:r w:rsidR="00E66E75">
        <w:rPr>
          <w:rFonts w:ascii="Times New Roman" w:hAnsi="Times New Roman" w:cs="Times New Roman"/>
          <w:sz w:val="28"/>
          <w:szCs w:val="28"/>
        </w:rPr>
        <w:t>rappresentano una</w:t>
      </w:r>
      <w:r w:rsidR="005F6CA6" w:rsidRPr="005F6CA6">
        <w:rPr>
          <w:rFonts w:ascii="Times New Roman" w:hAnsi="Times New Roman" w:cs="Times New Roman"/>
          <w:sz w:val="28"/>
          <w:szCs w:val="28"/>
        </w:rPr>
        <w:t xml:space="preserve"> figura necessaria in ogni </w:t>
      </w:r>
      <w:r w:rsidR="00E66E75">
        <w:rPr>
          <w:rFonts w:ascii="Times New Roman" w:hAnsi="Times New Roman" w:cs="Times New Roman"/>
          <w:sz w:val="28"/>
          <w:szCs w:val="28"/>
        </w:rPr>
        <w:t>ente locale</w:t>
      </w:r>
      <w:r w:rsidR="005F6CA6" w:rsidRPr="005F6CA6">
        <w:rPr>
          <w:rFonts w:ascii="Times New Roman" w:hAnsi="Times New Roman" w:cs="Times New Roman"/>
          <w:sz w:val="28"/>
          <w:szCs w:val="28"/>
        </w:rPr>
        <w:t xml:space="preserve"> ai sensi dell’art. 97 del D.Lgs. </w:t>
      </w:r>
      <w:r w:rsidR="00412CA3">
        <w:rPr>
          <w:rFonts w:ascii="Times New Roman" w:hAnsi="Times New Roman" w:cs="Times New Roman"/>
          <w:sz w:val="28"/>
          <w:szCs w:val="28"/>
        </w:rPr>
        <w:t xml:space="preserve">n. </w:t>
      </w:r>
      <w:r w:rsidR="005F6CA6" w:rsidRPr="005F6CA6">
        <w:rPr>
          <w:rFonts w:ascii="Times New Roman" w:hAnsi="Times New Roman" w:cs="Times New Roman"/>
          <w:sz w:val="28"/>
          <w:szCs w:val="28"/>
        </w:rPr>
        <w:t>267/2000</w:t>
      </w:r>
      <w:r w:rsidR="00E66E75">
        <w:rPr>
          <w:rStyle w:val="Rimandonotaapidipagina"/>
          <w:rFonts w:ascii="Times New Roman" w:hAnsi="Times New Roman" w:cs="Times New Roman"/>
          <w:sz w:val="28"/>
          <w:szCs w:val="28"/>
        </w:rPr>
        <w:footnoteReference w:id="2"/>
      </w:r>
      <w:r w:rsidR="005F6CA6" w:rsidRPr="005F6CA6">
        <w:rPr>
          <w:rFonts w:ascii="Times New Roman" w:hAnsi="Times New Roman" w:cs="Times New Roman"/>
          <w:sz w:val="28"/>
          <w:szCs w:val="28"/>
        </w:rPr>
        <w:t xml:space="preserve"> e indispensabile - in ragione dell’assegnato ruolo di coordinamento della dirigenza</w:t>
      </w:r>
      <w:r w:rsidR="00E66E75">
        <w:rPr>
          <w:rFonts w:ascii="Times New Roman" w:hAnsi="Times New Roman" w:cs="Times New Roman"/>
          <w:sz w:val="28"/>
          <w:szCs w:val="28"/>
        </w:rPr>
        <w:t xml:space="preserve"> </w:t>
      </w:r>
      <w:r w:rsidR="005F6CA6" w:rsidRPr="005F6CA6">
        <w:rPr>
          <w:rFonts w:ascii="Times New Roman" w:hAnsi="Times New Roman" w:cs="Times New Roman"/>
          <w:sz w:val="28"/>
          <w:szCs w:val="28"/>
        </w:rPr>
        <w:t xml:space="preserve">– ad assicurare l’effettiva capacità delle amministrazioni locali di </w:t>
      </w:r>
      <w:r w:rsidR="00E66E75">
        <w:rPr>
          <w:rFonts w:ascii="Times New Roman" w:hAnsi="Times New Roman" w:cs="Times New Roman"/>
          <w:sz w:val="28"/>
          <w:szCs w:val="28"/>
        </w:rPr>
        <w:t>raggiungere gli obiettivi del PNRR</w:t>
      </w:r>
      <w:r w:rsidR="005F6CA6" w:rsidRPr="005F6CA6">
        <w:rPr>
          <w:rFonts w:ascii="Times New Roman" w:hAnsi="Times New Roman" w:cs="Times New Roman"/>
          <w:sz w:val="28"/>
          <w:szCs w:val="28"/>
        </w:rPr>
        <w:t xml:space="preserve"> per la parte loro spettante.</w:t>
      </w:r>
    </w:p>
    <w:p w14:paraId="64F583C9" w14:textId="60EAC512" w:rsidR="005F6CA6" w:rsidRDefault="00C372E9"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CCNL dell’Area Funzioni Locali </w:t>
      </w:r>
      <w:r w:rsidR="001A4748">
        <w:rPr>
          <w:rFonts w:ascii="Times New Roman" w:hAnsi="Times New Roman" w:cs="Times New Roman"/>
          <w:sz w:val="28"/>
          <w:szCs w:val="28"/>
        </w:rPr>
        <w:t xml:space="preserve">del 17/12/2020 </w:t>
      </w:r>
      <w:r>
        <w:rPr>
          <w:rFonts w:ascii="Times New Roman" w:hAnsi="Times New Roman" w:cs="Times New Roman"/>
          <w:sz w:val="28"/>
          <w:szCs w:val="28"/>
        </w:rPr>
        <w:t>ha</w:t>
      </w:r>
      <w:r w:rsidR="001A4748">
        <w:rPr>
          <w:rFonts w:ascii="Times New Roman" w:hAnsi="Times New Roman" w:cs="Times New Roman"/>
          <w:sz w:val="28"/>
          <w:szCs w:val="28"/>
        </w:rPr>
        <w:t xml:space="preserve"> </w:t>
      </w:r>
      <w:r w:rsidR="00EF5A77">
        <w:rPr>
          <w:rFonts w:ascii="Times New Roman" w:hAnsi="Times New Roman" w:cs="Times New Roman"/>
          <w:sz w:val="28"/>
          <w:szCs w:val="28"/>
        </w:rPr>
        <w:t xml:space="preserve">ribadito il ruolo apicale dei </w:t>
      </w:r>
      <w:r w:rsidR="00BD3D38">
        <w:rPr>
          <w:rFonts w:ascii="Times New Roman" w:hAnsi="Times New Roman" w:cs="Times New Roman"/>
          <w:sz w:val="28"/>
          <w:szCs w:val="28"/>
        </w:rPr>
        <w:t>segretari</w:t>
      </w:r>
      <w:r w:rsidR="00EF5A77">
        <w:rPr>
          <w:rFonts w:ascii="Times New Roman" w:hAnsi="Times New Roman" w:cs="Times New Roman"/>
          <w:sz w:val="28"/>
          <w:szCs w:val="28"/>
        </w:rPr>
        <w:t xml:space="preserve"> prevedendo che “</w:t>
      </w:r>
      <w:r w:rsidR="009C0F5C" w:rsidRPr="009C0F5C">
        <w:rPr>
          <w:rFonts w:ascii="Times New Roman" w:hAnsi="Times New Roman" w:cs="Times New Roman"/>
          <w:sz w:val="28"/>
          <w:szCs w:val="28"/>
        </w:rPr>
        <w:t xml:space="preserve">Nei comuni fino a 100.000 abitanti ovvero nei Comuni, Province e Città Metropolitane ove non sia stato nominato il direttore generale ai sensi dell’art. 108 del d. Lgs. n. 267/2000, </w:t>
      </w:r>
      <w:r w:rsidR="009C0F5C" w:rsidRPr="00C372E9">
        <w:rPr>
          <w:rFonts w:ascii="Times New Roman" w:hAnsi="Times New Roman" w:cs="Times New Roman"/>
          <w:b/>
          <w:bCs/>
          <w:sz w:val="28"/>
          <w:szCs w:val="28"/>
        </w:rPr>
        <w:t>l’assunzione delle funzioni di segretario comunale comporta compiti di sovraintendenza allo svolgimento delle funzioni dei dirigenti e di coordinamento delle loro attività</w:t>
      </w:r>
      <w:r w:rsidR="009C0F5C" w:rsidRPr="009C0F5C">
        <w:rPr>
          <w:rFonts w:ascii="Times New Roman" w:hAnsi="Times New Roman" w:cs="Times New Roman"/>
          <w:sz w:val="28"/>
          <w:szCs w:val="28"/>
        </w:rPr>
        <w:t xml:space="preserve">, </w:t>
      </w:r>
      <w:r w:rsidR="009C0F5C" w:rsidRPr="00C372E9">
        <w:rPr>
          <w:rFonts w:ascii="Times New Roman" w:hAnsi="Times New Roman" w:cs="Times New Roman"/>
          <w:b/>
          <w:bCs/>
          <w:sz w:val="28"/>
          <w:szCs w:val="28"/>
          <w:u w:val="single"/>
        </w:rPr>
        <w:t>tra i quali la sovraintendenza alla gestione complessiva dell’ente</w:t>
      </w:r>
      <w:r w:rsidR="009C0F5C" w:rsidRPr="009C0F5C">
        <w:rPr>
          <w:rFonts w:ascii="Times New Roman" w:hAnsi="Times New Roman" w:cs="Times New Roman"/>
          <w:sz w:val="28"/>
          <w:szCs w:val="28"/>
        </w:rPr>
        <w:t>, la responsabilità della proposta del piano esecutivo di gestione nonché, nel suo ambito, del piano dettagliato degli obiettivi e del piano della performance, la responsabilità della proposta degli atti di pianificazione generale in materia di organizzazione e personale, l’esercizio del potere di avocazione degli atti dei dirigenti in caso di inadempimento</w:t>
      </w:r>
      <w:r w:rsidR="00EF5A77">
        <w:rPr>
          <w:rFonts w:ascii="Times New Roman" w:hAnsi="Times New Roman" w:cs="Times New Roman"/>
          <w:sz w:val="28"/>
          <w:szCs w:val="28"/>
        </w:rPr>
        <w:t>”</w:t>
      </w:r>
      <w:r w:rsidR="009C0F5C" w:rsidRPr="009C0F5C">
        <w:rPr>
          <w:rFonts w:ascii="Times New Roman" w:hAnsi="Times New Roman" w:cs="Times New Roman"/>
          <w:sz w:val="28"/>
          <w:szCs w:val="28"/>
        </w:rPr>
        <w:t>.</w:t>
      </w:r>
    </w:p>
    <w:p w14:paraId="4B50FAB0" w14:textId="7D9F2D3B" w:rsidR="00095FF7" w:rsidRDefault="008B3CE0"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tale veste i </w:t>
      </w:r>
      <w:r w:rsidR="00BD3D38">
        <w:rPr>
          <w:rFonts w:ascii="Times New Roman" w:hAnsi="Times New Roman" w:cs="Times New Roman"/>
          <w:sz w:val="28"/>
          <w:szCs w:val="28"/>
        </w:rPr>
        <w:t>segretari</w:t>
      </w:r>
      <w:r>
        <w:rPr>
          <w:rFonts w:ascii="Times New Roman" w:hAnsi="Times New Roman" w:cs="Times New Roman"/>
          <w:sz w:val="28"/>
          <w:szCs w:val="28"/>
        </w:rPr>
        <w:t xml:space="preserve"> comunali sono chiamati </w:t>
      </w:r>
      <w:r w:rsidR="00E76635">
        <w:rPr>
          <w:rFonts w:ascii="Times New Roman" w:hAnsi="Times New Roman" w:cs="Times New Roman"/>
          <w:sz w:val="28"/>
          <w:szCs w:val="28"/>
        </w:rPr>
        <w:t xml:space="preserve">a profondere ogni sforzo perché gli </w:t>
      </w:r>
      <w:r w:rsidR="00EF5A77">
        <w:rPr>
          <w:rFonts w:ascii="Times New Roman" w:hAnsi="Times New Roman" w:cs="Times New Roman"/>
          <w:sz w:val="28"/>
          <w:szCs w:val="28"/>
        </w:rPr>
        <w:t xml:space="preserve">importanti </w:t>
      </w:r>
      <w:r w:rsidR="00E76635">
        <w:rPr>
          <w:rFonts w:ascii="Times New Roman" w:hAnsi="Times New Roman" w:cs="Times New Roman"/>
          <w:sz w:val="28"/>
          <w:szCs w:val="28"/>
        </w:rPr>
        <w:t xml:space="preserve">obiettivi del PNRR siano raggiunti. </w:t>
      </w:r>
    </w:p>
    <w:p w14:paraId="09A6A3DA" w14:textId="782A8384" w:rsidR="001B091B" w:rsidRPr="001B091B" w:rsidRDefault="001B091B" w:rsidP="00FC365D">
      <w:pPr>
        <w:spacing w:line="360" w:lineRule="auto"/>
        <w:jc w:val="both"/>
        <w:rPr>
          <w:rFonts w:ascii="Times New Roman" w:hAnsi="Times New Roman" w:cs="Times New Roman"/>
          <w:b/>
          <w:bCs/>
          <w:sz w:val="28"/>
          <w:szCs w:val="28"/>
        </w:rPr>
      </w:pPr>
      <w:r w:rsidRPr="001B091B">
        <w:rPr>
          <w:rFonts w:ascii="Times New Roman" w:hAnsi="Times New Roman" w:cs="Times New Roman"/>
          <w:b/>
          <w:bCs/>
          <w:sz w:val="28"/>
          <w:szCs w:val="28"/>
        </w:rPr>
        <w:t xml:space="preserve">I recenti interventi del legislatore per rimediare alla carenza di </w:t>
      </w:r>
      <w:r w:rsidR="00BD3D38">
        <w:rPr>
          <w:rFonts w:ascii="Times New Roman" w:hAnsi="Times New Roman" w:cs="Times New Roman"/>
          <w:b/>
          <w:bCs/>
          <w:sz w:val="28"/>
          <w:szCs w:val="28"/>
        </w:rPr>
        <w:t>segretari</w:t>
      </w:r>
    </w:p>
    <w:p w14:paraId="13B96A22" w14:textId="2AB7004E" w:rsidR="00D218BE" w:rsidRDefault="00D218BE"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 recente il legislatore </w:t>
      </w:r>
      <w:r w:rsidR="00365C2E">
        <w:rPr>
          <w:rFonts w:ascii="Times New Roman" w:hAnsi="Times New Roman" w:cs="Times New Roman"/>
          <w:sz w:val="28"/>
          <w:szCs w:val="28"/>
        </w:rPr>
        <w:t xml:space="preserve">è intervenuto con diverse </w:t>
      </w:r>
      <w:r w:rsidR="00397C1E">
        <w:rPr>
          <w:rFonts w:ascii="Times New Roman" w:hAnsi="Times New Roman" w:cs="Times New Roman"/>
          <w:sz w:val="28"/>
          <w:szCs w:val="28"/>
        </w:rPr>
        <w:t>disposizioni</w:t>
      </w:r>
      <w:r w:rsidR="00983612" w:rsidRPr="00983612">
        <w:rPr>
          <w:rFonts w:ascii="Times New Roman" w:hAnsi="Times New Roman" w:cs="Times New Roman"/>
          <w:sz w:val="28"/>
          <w:szCs w:val="28"/>
        </w:rPr>
        <w:t xml:space="preserve"> </w:t>
      </w:r>
      <w:r w:rsidR="00983612">
        <w:rPr>
          <w:rFonts w:ascii="Times New Roman" w:hAnsi="Times New Roman" w:cs="Times New Roman"/>
          <w:sz w:val="28"/>
          <w:szCs w:val="28"/>
        </w:rPr>
        <w:t>per porre rimedio alla grave carenza di tale figura</w:t>
      </w:r>
      <w:r w:rsidR="00397C1E">
        <w:rPr>
          <w:rFonts w:ascii="Times New Roman" w:hAnsi="Times New Roman" w:cs="Times New Roman"/>
          <w:sz w:val="28"/>
          <w:szCs w:val="28"/>
        </w:rPr>
        <w:t xml:space="preserve">, </w:t>
      </w:r>
      <w:r w:rsidR="004B42A8">
        <w:rPr>
          <w:rFonts w:ascii="Times New Roman" w:hAnsi="Times New Roman" w:cs="Times New Roman"/>
          <w:sz w:val="28"/>
          <w:szCs w:val="28"/>
        </w:rPr>
        <w:t xml:space="preserve">con l’obiettivo di consentire a tutti gli enti locali di essere </w:t>
      </w:r>
      <w:r w:rsidR="004B42A8">
        <w:rPr>
          <w:rFonts w:ascii="Times New Roman" w:hAnsi="Times New Roman" w:cs="Times New Roman"/>
          <w:sz w:val="28"/>
          <w:szCs w:val="28"/>
        </w:rPr>
        <w:lastRenderedPageBreak/>
        <w:t xml:space="preserve">in condizione di raggiungere i fondamentali obiettivi del PNRR. Il presupposto di tali interventi normativi è </w:t>
      </w:r>
      <w:r w:rsidR="00845A71">
        <w:rPr>
          <w:rFonts w:ascii="Times New Roman" w:hAnsi="Times New Roman" w:cs="Times New Roman"/>
          <w:sz w:val="28"/>
          <w:szCs w:val="28"/>
        </w:rPr>
        <w:t xml:space="preserve">la convinzione che </w:t>
      </w:r>
      <w:r w:rsidR="00983612">
        <w:rPr>
          <w:rFonts w:ascii="Times New Roman" w:hAnsi="Times New Roman" w:cs="Times New Roman"/>
          <w:sz w:val="28"/>
          <w:szCs w:val="28"/>
        </w:rPr>
        <w:t>sia</w:t>
      </w:r>
      <w:r w:rsidR="00845A71">
        <w:rPr>
          <w:rFonts w:ascii="Times New Roman" w:hAnsi="Times New Roman" w:cs="Times New Roman"/>
          <w:sz w:val="28"/>
          <w:szCs w:val="28"/>
        </w:rPr>
        <w:t xml:space="preserve"> necessario puntare su tale figura per garantire il buon andamento e la legalità dell’azione amministrativa </w:t>
      </w:r>
      <w:r w:rsidR="00BC3ECB">
        <w:rPr>
          <w:rFonts w:ascii="Times New Roman" w:hAnsi="Times New Roman" w:cs="Times New Roman"/>
          <w:sz w:val="28"/>
          <w:szCs w:val="28"/>
        </w:rPr>
        <w:t>dei comuni e delle province.</w:t>
      </w:r>
    </w:p>
    <w:p w14:paraId="47B238FA" w14:textId="7687DCA9" w:rsidR="00BC3ECB" w:rsidRDefault="00BC3ECB"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t>Gli interventi normativi a cui si fa riferimento sono i seguenti.</w:t>
      </w:r>
    </w:p>
    <w:p w14:paraId="5FB5A0B7" w14:textId="796A07C1" w:rsidR="00016EA6" w:rsidRPr="00016EA6" w:rsidRDefault="004C5540" w:rsidP="00016EA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4C5540">
        <w:rPr>
          <w:rFonts w:ascii="Times New Roman" w:hAnsi="Times New Roman" w:cs="Times New Roman"/>
          <w:i/>
          <w:iCs/>
          <w:sz w:val="28"/>
          <w:szCs w:val="28"/>
          <w:u w:val="single"/>
        </w:rPr>
        <w:t>Al fine di supportare gli enti locali per l’attuazione degli interventi e la realizzazione degli obiettivi previsti dal Piano nazionale di ripresa e resilienza (PNRR)</w:t>
      </w:r>
      <w:r w:rsidRPr="00E738D3">
        <w:rPr>
          <w:rFonts w:ascii="Times New Roman" w:hAnsi="Times New Roman" w:cs="Times New Roman"/>
          <w:i/>
          <w:iCs/>
          <w:sz w:val="28"/>
          <w:szCs w:val="28"/>
        </w:rPr>
        <w:t>, a decorrere dal 2022 e per la durata del medesimo Piano</w:t>
      </w:r>
      <w:r>
        <w:rPr>
          <w:rFonts w:ascii="Times New Roman" w:hAnsi="Times New Roman" w:cs="Times New Roman"/>
          <w:sz w:val="28"/>
          <w:szCs w:val="28"/>
        </w:rPr>
        <w:t xml:space="preserve">” è l’incipit dell’art. 12-bis del D.L. n. 4/2022, come convertito con L. n. </w:t>
      </w:r>
      <w:r w:rsidR="00CE7E05">
        <w:rPr>
          <w:rFonts w:ascii="Times New Roman" w:hAnsi="Times New Roman" w:cs="Times New Roman"/>
          <w:sz w:val="28"/>
          <w:szCs w:val="28"/>
        </w:rPr>
        <w:t>25/202</w:t>
      </w:r>
      <w:r w:rsidR="000153D4">
        <w:rPr>
          <w:rFonts w:ascii="Times New Roman" w:hAnsi="Times New Roman" w:cs="Times New Roman"/>
          <w:sz w:val="28"/>
          <w:szCs w:val="28"/>
        </w:rPr>
        <w:t>2</w:t>
      </w:r>
      <w:r w:rsidR="00016EA6">
        <w:rPr>
          <w:rFonts w:ascii="Times New Roman" w:hAnsi="Times New Roman" w:cs="Times New Roman"/>
          <w:sz w:val="28"/>
          <w:szCs w:val="28"/>
        </w:rPr>
        <w:t xml:space="preserve">, con il quale </w:t>
      </w:r>
      <w:r w:rsidR="00016EA6" w:rsidRPr="00016EA6">
        <w:rPr>
          <w:rFonts w:ascii="Times New Roman" w:hAnsi="Times New Roman" w:cs="Times New Roman"/>
          <w:sz w:val="28"/>
          <w:szCs w:val="28"/>
        </w:rPr>
        <w:t>si interviene</w:t>
      </w:r>
      <w:r w:rsidR="00016EA6">
        <w:rPr>
          <w:rFonts w:ascii="Times New Roman" w:hAnsi="Times New Roman" w:cs="Times New Roman"/>
          <w:sz w:val="28"/>
          <w:szCs w:val="28"/>
        </w:rPr>
        <w:t xml:space="preserve">, in materia di </w:t>
      </w:r>
      <w:r w:rsidR="00BD3D38">
        <w:rPr>
          <w:rFonts w:ascii="Times New Roman" w:hAnsi="Times New Roman" w:cs="Times New Roman"/>
          <w:sz w:val="28"/>
          <w:szCs w:val="28"/>
        </w:rPr>
        <w:t>segretari</w:t>
      </w:r>
      <w:r w:rsidR="00016EA6">
        <w:rPr>
          <w:rFonts w:ascii="Times New Roman" w:hAnsi="Times New Roman" w:cs="Times New Roman"/>
          <w:sz w:val="28"/>
          <w:szCs w:val="28"/>
        </w:rPr>
        <w:t xml:space="preserve"> comunali</w:t>
      </w:r>
      <w:r w:rsidR="00E1272B">
        <w:rPr>
          <w:rFonts w:ascii="Times New Roman" w:hAnsi="Times New Roman" w:cs="Times New Roman"/>
          <w:sz w:val="28"/>
          <w:szCs w:val="28"/>
        </w:rPr>
        <w:t>,</w:t>
      </w:r>
      <w:r w:rsidR="00016EA6">
        <w:rPr>
          <w:rFonts w:ascii="Times New Roman" w:hAnsi="Times New Roman" w:cs="Times New Roman"/>
          <w:sz w:val="28"/>
          <w:szCs w:val="28"/>
        </w:rPr>
        <w:t xml:space="preserve"> sui seguenti aspetti:</w:t>
      </w:r>
    </w:p>
    <w:p w14:paraId="52502B7D" w14:textId="77777777" w:rsidR="0024516E" w:rsidRDefault="00343527" w:rsidP="001F6652">
      <w:pPr>
        <w:pStyle w:val="Paragrafoelenco"/>
        <w:numPr>
          <w:ilvl w:val="0"/>
          <w:numId w:val="8"/>
        </w:numPr>
        <w:spacing w:line="360" w:lineRule="auto"/>
        <w:jc w:val="both"/>
        <w:rPr>
          <w:rFonts w:ascii="Times New Roman" w:hAnsi="Times New Roman" w:cs="Times New Roman"/>
          <w:sz w:val="28"/>
          <w:szCs w:val="28"/>
        </w:rPr>
      </w:pPr>
      <w:r w:rsidRPr="0024516E">
        <w:rPr>
          <w:rFonts w:ascii="Times New Roman" w:hAnsi="Times New Roman" w:cs="Times New Roman"/>
          <w:sz w:val="28"/>
          <w:szCs w:val="28"/>
        </w:rPr>
        <w:t>l</w:t>
      </w:r>
      <w:r w:rsidR="00BB5838" w:rsidRPr="0024516E">
        <w:rPr>
          <w:rFonts w:ascii="Times New Roman" w:hAnsi="Times New Roman" w:cs="Times New Roman"/>
          <w:sz w:val="28"/>
          <w:szCs w:val="28"/>
        </w:rPr>
        <w:t>e assunzioni di segretari comunali e provinciali possono essere autorizzate per un numero di unità pari al 120 per cento delle cessazioni dal servizio nel corso dell'anno precedente</w:t>
      </w:r>
      <w:r w:rsidRPr="0024516E">
        <w:rPr>
          <w:rFonts w:ascii="Times New Roman" w:hAnsi="Times New Roman" w:cs="Times New Roman"/>
          <w:sz w:val="28"/>
          <w:szCs w:val="28"/>
        </w:rPr>
        <w:t xml:space="preserve"> (in precedenza </w:t>
      </w:r>
      <w:r w:rsidR="00E1272B" w:rsidRPr="0024516E">
        <w:rPr>
          <w:rFonts w:ascii="Times New Roman" w:hAnsi="Times New Roman" w:cs="Times New Roman"/>
          <w:sz w:val="28"/>
          <w:szCs w:val="28"/>
        </w:rPr>
        <w:t>potevan</w:t>
      </w:r>
      <w:r w:rsidR="00BB5838" w:rsidRPr="0024516E">
        <w:rPr>
          <w:rFonts w:ascii="Times New Roman" w:hAnsi="Times New Roman" w:cs="Times New Roman"/>
          <w:sz w:val="28"/>
          <w:szCs w:val="28"/>
        </w:rPr>
        <w:t>o essere autorizzate facendo riferimento al 100 per cento delle cessazioni</w:t>
      </w:r>
      <w:r w:rsidR="00E1272B" w:rsidRPr="0024516E">
        <w:rPr>
          <w:rFonts w:ascii="Times New Roman" w:hAnsi="Times New Roman" w:cs="Times New Roman"/>
          <w:sz w:val="28"/>
          <w:szCs w:val="28"/>
        </w:rPr>
        <w:t>);</w:t>
      </w:r>
    </w:p>
    <w:p w14:paraId="6418E829" w14:textId="77777777" w:rsidR="00E553BB" w:rsidRDefault="00E553BB" w:rsidP="00AA15BA">
      <w:pPr>
        <w:pStyle w:val="Paragrafoelenco"/>
        <w:numPr>
          <w:ilvl w:val="0"/>
          <w:numId w:val="8"/>
        </w:numPr>
        <w:spacing w:line="360" w:lineRule="auto"/>
        <w:jc w:val="both"/>
        <w:rPr>
          <w:rFonts w:ascii="Times New Roman" w:hAnsi="Times New Roman" w:cs="Times New Roman"/>
          <w:sz w:val="28"/>
          <w:szCs w:val="28"/>
        </w:rPr>
      </w:pPr>
      <w:r w:rsidRPr="00E553BB">
        <w:rPr>
          <w:rFonts w:ascii="Times New Roman" w:hAnsi="Times New Roman" w:cs="Times New Roman"/>
          <w:sz w:val="28"/>
          <w:szCs w:val="28"/>
        </w:rPr>
        <w:t>i</w:t>
      </w:r>
      <w:r w:rsidR="00016EA6" w:rsidRPr="00E553BB">
        <w:rPr>
          <w:rFonts w:ascii="Times New Roman" w:hAnsi="Times New Roman" w:cs="Times New Roman"/>
          <w:sz w:val="28"/>
          <w:szCs w:val="28"/>
        </w:rPr>
        <w:t xml:space="preserve"> futuri concorsi (con decorrenza dal 2023)</w:t>
      </w:r>
      <w:r w:rsidR="0024516E" w:rsidRPr="00E553BB">
        <w:rPr>
          <w:rFonts w:ascii="Times New Roman" w:hAnsi="Times New Roman" w:cs="Times New Roman"/>
          <w:sz w:val="28"/>
          <w:szCs w:val="28"/>
        </w:rPr>
        <w:t xml:space="preserve">, modificando </w:t>
      </w:r>
      <w:r w:rsidRPr="00E553BB">
        <w:rPr>
          <w:rFonts w:ascii="Times New Roman" w:hAnsi="Times New Roman" w:cs="Times New Roman"/>
          <w:sz w:val="28"/>
          <w:szCs w:val="28"/>
        </w:rPr>
        <w:t>le regole di svolgimento</w:t>
      </w:r>
      <w:r w:rsidR="0024516E" w:rsidRPr="00E553BB">
        <w:rPr>
          <w:rFonts w:ascii="Times New Roman" w:hAnsi="Times New Roman" w:cs="Times New Roman"/>
          <w:sz w:val="28"/>
          <w:szCs w:val="28"/>
        </w:rPr>
        <w:t xml:space="preserve"> dei cor</w:t>
      </w:r>
      <w:r w:rsidRPr="00E553BB">
        <w:rPr>
          <w:rFonts w:ascii="Times New Roman" w:hAnsi="Times New Roman" w:cs="Times New Roman"/>
          <w:sz w:val="28"/>
          <w:szCs w:val="28"/>
        </w:rPr>
        <w:t xml:space="preserve">si-concorso; </w:t>
      </w:r>
    </w:p>
    <w:p w14:paraId="41D89FC0" w14:textId="7BA85EB7" w:rsidR="004C5540" w:rsidRPr="00494734" w:rsidRDefault="00E553BB" w:rsidP="005342AB">
      <w:pPr>
        <w:pStyle w:val="Paragrafoelenco"/>
        <w:numPr>
          <w:ilvl w:val="0"/>
          <w:numId w:val="8"/>
        </w:numPr>
        <w:spacing w:line="360" w:lineRule="auto"/>
        <w:jc w:val="both"/>
        <w:rPr>
          <w:rFonts w:ascii="Times New Roman" w:hAnsi="Times New Roman" w:cs="Times New Roman"/>
          <w:sz w:val="28"/>
          <w:szCs w:val="28"/>
        </w:rPr>
      </w:pPr>
      <w:r w:rsidRPr="00494734">
        <w:rPr>
          <w:rFonts w:ascii="Times New Roman" w:hAnsi="Times New Roman" w:cs="Times New Roman"/>
          <w:sz w:val="28"/>
          <w:szCs w:val="28"/>
        </w:rPr>
        <w:t>g</w:t>
      </w:r>
      <w:r w:rsidR="00016EA6" w:rsidRPr="00494734">
        <w:rPr>
          <w:rFonts w:ascii="Times New Roman" w:hAnsi="Times New Roman" w:cs="Times New Roman"/>
          <w:sz w:val="28"/>
          <w:szCs w:val="28"/>
        </w:rPr>
        <w:t>li incarichi che possono essere conferiti ai segretari di prima fascia</w:t>
      </w:r>
      <w:r w:rsidRPr="00494734">
        <w:rPr>
          <w:rFonts w:ascii="Times New Roman" w:hAnsi="Times New Roman" w:cs="Times New Roman"/>
          <w:sz w:val="28"/>
          <w:szCs w:val="28"/>
        </w:rPr>
        <w:t xml:space="preserve">, </w:t>
      </w:r>
      <w:r w:rsidR="001228E0" w:rsidRPr="00494734">
        <w:rPr>
          <w:rFonts w:ascii="Times New Roman" w:hAnsi="Times New Roman" w:cs="Times New Roman"/>
          <w:sz w:val="28"/>
          <w:szCs w:val="28"/>
        </w:rPr>
        <w:t xml:space="preserve">consentendo agli stessi di assumere, in deroga e </w:t>
      </w:r>
      <w:r w:rsidR="00494734" w:rsidRPr="001228E0">
        <w:rPr>
          <w:rFonts w:ascii="Times New Roman" w:hAnsi="Times New Roman" w:cs="Times New Roman"/>
          <w:sz w:val="28"/>
          <w:szCs w:val="28"/>
        </w:rPr>
        <w:t>per un periodo massimo di sei mesi (prorogabil</w:t>
      </w:r>
      <w:r w:rsidR="00494734" w:rsidRPr="00494734">
        <w:rPr>
          <w:rFonts w:ascii="Times New Roman" w:hAnsi="Times New Roman" w:cs="Times New Roman"/>
          <w:sz w:val="28"/>
          <w:szCs w:val="28"/>
        </w:rPr>
        <w:t>e</w:t>
      </w:r>
      <w:r w:rsidR="00494734" w:rsidRPr="001228E0">
        <w:rPr>
          <w:rFonts w:ascii="Times New Roman" w:hAnsi="Times New Roman" w:cs="Times New Roman"/>
          <w:sz w:val="28"/>
          <w:szCs w:val="28"/>
        </w:rPr>
        <w:t xml:space="preserve"> fino a dodici)</w:t>
      </w:r>
      <w:r w:rsidR="00494734" w:rsidRPr="00494734">
        <w:rPr>
          <w:rFonts w:ascii="Times New Roman" w:hAnsi="Times New Roman" w:cs="Times New Roman"/>
          <w:sz w:val="28"/>
          <w:szCs w:val="28"/>
        </w:rPr>
        <w:t xml:space="preserve">, </w:t>
      </w:r>
      <w:r w:rsidR="001228E0" w:rsidRPr="00494734">
        <w:rPr>
          <w:rFonts w:ascii="Times New Roman" w:hAnsi="Times New Roman" w:cs="Times New Roman"/>
          <w:sz w:val="28"/>
          <w:szCs w:val="28"/>
        </w:rPr>
        <w:t>la titolarità di sedi</w:t>
      </w:r>
      <w:r w:rsidR="00494734" w:rsidRPr="00494734">
        <w:rPr>
          <w:rFonts w:ascii="Times New Roman" w:hAnsi="Times New Roman" w:cs="Times New Roman"/>
          <w:sz w:val="28"/>
          <w:szCs w:val="28"/>
        </w:rPr>
        <w:t xml:space="preserve"> </w:t>
      </w:r>
      <w:r w:rsidR="001228E0" w:rsidRPr="00494734">
        <w:rPr>
          <w:rFonts w:ascii="Times New Roman" w:hAnsi="Times New Roman" w:cs="Times New Roman"/>
          <w:sz w:val="28"/>
          <w:szCs w:val="28"/>
        </w:rPr>
        <w:t>fino a 5.000 abitanti</w:t>
      </w:r>
      <w:r w:rsidR="00494734" w:rsidRPr="00494734">
        <w:rPr>
          <w:rFonts w:ascii="Times New Roman" w:hAnsi="Times New Roman" w:cs="Times New Roman"/>
          <w:sz w:val="28"/>
          <w:szCs w:val="28"/>
        </w:rPr>
        <w:t xml:space="preserve">, </w:t>
      </w:r>
      <w:r w:rsidR="001228E0" w:rsidRPr="001228E0">
        <w:rPr>
          <w:rFonts w:ascii="Times New Roman" w:hAnsi="Times New Roman" w:cs="Times New Roman"/>
          <w:sz w:val="28"/>
          <w:szCs w:val="28"/>
        </w:rPr>
        <w:t>in caso di vacanza della sede e qualora la procedura di pubblicizzazione sia andata deserta</w:t>
      </w:r>
      <w:r w:rsidR="00494734" w:rsidRPr="00494734">
        <w:rPr>
          <w:rFonts w:ascii="Times New Roman" w:hAnsi="Times New Roman" w:cs="Times New Roman"/>
          <w:sz w:val="28"/>
          <w:szCs w:val="28"/>
        </w:rPr>
        <w:t>.</w:t>
      </w:r>
    </w:p>
    <w:p w14:paraId="4E5EF2D5" w14:textId="4ADEE8CD" w:rsidR="00D424D6" w:rsidRPr="00D424D6" w:rsidRDefault="00D424D6" w:rsidP="00D424D6">
      <w:pPr>
        <w:spacing w:line="360" w:lineRule="auto"/>
        <w:jc w:val="both"/>
        <w:rPr>
          <w:rFonts w:ascii="Times New Roman" w:hAnsi="Times New Roman" w:cs="Times New Roman"/>
          <w:sz w:val="28"/>
          <w:szCs w:val="28"/>
        </w:rPr>
      </w:pPr>
      <w:r w:rsidRPr="00D424D6">
        <w:rPr>
          <w:rFonts w:ascii="Times New Roman" w:hAnsi="Times New Roman" w:cs="Times New Roman"/>
          <w:sz w:val="28"/>
          <w:szCs w:val="28"/>
        </w:rPr>
        <w:t xml:space="preserve">La Legge di Bilancio </w:t>
      </w:r>
      <w:r w:rsidR="008D52D6" w:rsidRPr="008D52D6">
        <w:rPr>
          <w:rFonts w:ascii="Times New Roman" w:hAnsi="Times New Roman" w:cs="Times New Roman"/>
          <w:sz w:val="28"/>
          <w:szCs w:val="28"/>
        </w:rPr>
        <w:t>(</w:t>
      </w:r>
      <w:r w:rsidR="008D52D6">
        <w:rPr>
          <w:rFonts w:ascii="Times New Roman" w:hAnsi="Times New Roman" w:cs="Times New Roman"/>
          <w:sz w:val="28"/>
          <w:szCs w:val="28"/>
        </w:rPr>
        <w:t>a</w:t>
      </w:r>
      <w:r w:rsidR="008D52D6" w:rsidRPr="008D52D6">
        <w:rPr>
          <w:rFonts w:ascii="Times New Roman" w:hAnsi="Times New Roman" w:cs="Times New Roman"/>
          <w:sz w:val="28"/>
          <w:szCs w:val="28"/>
        </w:rPr>
        <w:t>rt. 1, comma 825-828, L. 197/2022)</w:t>
      </w:r>
      <w:r w:rsidR="008D52D6">
        <w:rPr>
          <w:rFonts w:ascii="Times New Roman" w:hAnsi="Times New Roman" w:cs="Times New Roman"/>
          <w:sz w:val="28"/>
          <w:szCs w:val="28"/>
        </w:rPr>
        <w:t xml:space="preserve"> </w:t>
      </w:r>
      <w:r w:rsidR="00C77998">
        <w:rPr>
          <w:rFonts w:ascii="Times New Roman" w:hAnsi="Times New Roman" w:cs="Times New Roman"/>
          <w:sz w:val="28"/>
          <w:szCs w:val="28"/>
        </w:rPr>
        <w:t>“</w:t>
      </w:r>
      <w:r w:rsidR="00C77998" w:rsidRPr="00896590">
        <w:rPr>
          <w:rFonts w:ascii="Times New Roman" w:hAnsi="Times New Roman" w:cs="Times New Roman"/>
          <w:i/>
          <w:iCs/>
          <w:sz w:val="28"/>
          <w:szCs w:val="28"/>
          <w:u w:val="single"/>
        </w:rPr>
        <w:t>Al fine di assicurare la piena funzionalità e capacità amministrativa dei comuni nell’attuazione degli interventi e nella realizzazione degli obiettivi previsti dal Piano nazionale di ripresa e resilienza</w:t>
      </w:r>
      <w:r w:rsidR="00896590">
        <w:rPr>
          <w:rFonts w:ascii="Times New Roman" w:hAnsi="Times New Roman" w:cs="Times New Roman"/>
          <w:sz w:val="28"/>
          <w:szCs w:val="28"/>
        </w:rPr>
        <w:t>”</w:t>
      </w:r>
      <w:r w:rsidR="00C77998" w:rsidRPr="00C77998">
        <w:rPr>
          <w:rFonts w:ascii="Times New Roman" w:hAnsi="Times New Roman" w:cs="Times New Roman"/>
          <w:sz w:val="28"/>
          <w:szCs w:val="28"/>
        </w:rPr>
        <w:t xml:space="preserve"> </w:t>
      </w:r>
      <w:r w:rsidRPr="00D424D6">
        <w:rPr>
          <w:rFonts w:ascii="Times New Roman" w:hAnsi="Times New Roman" w:cs="Times New Roman"/>
          <w:sz w:val="28"/>
          <w:szCs w:val="28"/>
        </w:rPr>
        <w:t xml:space="preserve">prevede: </w:t>
      </w:r>
    </w:p>
    <w:p w14:paraId="2B96A4A8" w14:textId="4722361C" w:rsidR="00D424D6" w:rsidRPr="00D424D6" w:rsidRDefault="008C2F23" w:rsidP="00D424D6">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D424D6" w:rsidRPr="00D424D6">
        <w:rPr>
          <w:rFonts w:ascii="Times New Roman" w:hAnsi="Times New Roman" w:cs="Times New Roman"/>
          <w:sz w:val="28"/>
          <w:szCs w:val="28"/>
        </w:rPr>
        <w:t xml:space="preserve">’iscrizione all’Albo, in aggiunta a quelli previsti dal bando, anche dei borsisti non vincitori che abbiano conseguito il punteggio minimo di idoneità al termine </w:t>
      </w:r>
      <w:r w:rsidR="00D424D6" w:rsidRPr="00D424D6">
        <w:rPr>
          <w:rFonts w:ascii="Times New Roman" w:hAnsi="Times New Roman" w:cs="Times New Roman"/>
          <w:sz w:val="28"/>
          <w:szCs w:val="28"/>
        </w:rPr>
        <w:lastRenderedPageBreak/>
        <w:t>del corso concorso selettivo di formazione</w:t>
      </w:r>
      <w:r>
        <w:rPr>
          <w:rFonts w:ascii="Times New Roman" w:hAnsi="Times New Roman" w:cs="Times New Roman"/>
          <w:sz w:val="28"/>
          <w:szCs w:val="28"/>
        </w:rPr>
        <w:t>, aumenta</w:t>
      </w:r>
      <w:r w:rsidR="00D23E48">
        <w:rPr>
          <w:rFonts w:ascii="Times New Roman" w:hAnsi="Times New Roman" w:cs="Times New Roman"/>
          <w:sz w:val="28"/>
          <w:szCs w:val="28"/>
        </w:rPr>
        <w:t xml:space="preserve">ndo quindi il numero </w:t>
      </w:r>
      <w:r w:rsidR="00F11BA4">
        <w:rPr>
          <w:rFonts w:ascii="Times New Roman" w:hAnsi="Times New Roman" w:cs="Times New Roman"/>
          <w:sz w:val="28"/>
          <w:szCs w:val="28"/>
        </w:rPr>
        <w:t xml:space="preserve">dei </w:t>
      </w:r>
      <w:r w:rsidR="00BD3D38">
        <w:rPr>
          <w:rFonts w:ascii="Times New Roman" w:hAnsi="Times New Roman" w:cs="Times New Roman"/>
          <w:sz w:val="28"/>
          <w:szCs w:val="28"/>
        </w:rPr>
        <w:t>segretari</w:t>
      </w:r>
      <w:r w:rsidR="00F11BA4">
        <w:rPr>
          <w:rFonts w:ascii="Times New Roman" w:hAnsi="Times New Roman" w:cs="Times New Roman"/>
          <w:sz w:val="28"/>
          <w:szCs w:val="28"/>
        </w:rPr>
        <w:t xml:space="preserve"> da iscrivere all’Albo all’esito del concorso COA 21</w:t>
      </w:r>
      <w:r w:rsidR="00D424D6" w:rsidRPr="00D424D6">
        <w:rPr>
          <w:rFonts w:ascii="Times New Roman" w:hAnsi="Times New Roman" w:cs="Times New Roman"/>
          <w:sz w:val="28"/>
          <w:szCs w:val="28"/>
        </w:rPr>
        <w:t>;</w:t>
      </w:r>
    </w:p>
    <w:p w14:paraId="4D377B40" w14:textId="42C1789F" w:rsidR="00D424D6" w:rsidRPr="00D424D6" w:rsidRDefault="00F11BA4" w:rsidP="00D424D6">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D424D6" w:rsidRPr="00D424D6">
        <w:rPr>
          <w:rFonts w:ascii="Times New Roman" w:hAnsi="Times New Roman" w:cs="Times New Roman"/>
          <w:sz w:val="28"/>
          <w:szCs w:val="28"/>
        </w:rPr>
        <w:t>er supportare i comuni con popolazione fino a 5.000 abitanti, a decorrere dall'anno 2023 e per la durata del PNRR, le risorse di cui all'articolo 31-bis, comma 5, del D.L. n. 152/2021 possono essere utilizzate anche a sostenere gli oneri relativi al trattamento economico degli incarichi conferiti ai segretari comunali.</w:t>
      </w:r>
      <w:r w:rsidR="00964FE4">
        <w:rPr>
          <w:rFonts w:ascii="Times New Roman" w:hAnsi="Times New Roman" w:cs="Times New Roman"/>
          <w:sz w:val="28"/>
          <w:szCs w:val="28"/>
        </w:rPr>
        <w:t xml:space="preserve"> Si prevede quindi un sostegno economico per gli enti di minore dimensione per </w:t>
      </w:r>
      <w:r w:rsidR="00213C08">
        <w:rPr>
          <w:rFonts w:ascii="Times New Roman" w:hAnsi="Times New Roman" w:cs="Times New Roman"/>
          <w:sz w:val="28"/>
          <w:szCs w:val="28"/>
        </w:rPr>
        <w:t>metterli in condizione di avere</w:t>
      </w:r>
      <w:r w:rsidR="008B3A63">
        <w:rPr>
          <w:rFonts w:ascii="Times New Roman" w:hAnsi="Times New Roman" w:cs="Times New Roman"/>
          <w:sz w:val="28"/>
          <w:szCs w:val="28"/>
        </w:rPr>
        <w:t xml:space="preserve"> a disposizione tale figura</w:t>
      </w:r>
      <w:r w:rsidR="00213C08">
        <w:rPr>
          <w:rFonts w:ascii="Times New Roman" w:hAnsi="Times New Roman" w:cs="Times New Roman"/>
          <w:sz w:val="28"/>
          <w:szCs w:val="28"/>
        </w:rPr>
        <w:t>, anche in caso di difficoltà economica</w:t>
      </w:r>
      <w:r w:rsidR="001774B4">
        <w:rPr>
          <w:rStyle w:val="Rimandonotaapidipagina"/>
          <w:rFonts w:ascii="Times New Roman" w:hAnsi="Times New Roman" w:cs="Times New Roman"/>
          <w:sz w:val="28"/>
          <w:szCs w:val="28"/>
        </w:rPr>
        <w:footnoteReference w:id="3"/>
      </w:r>
      <w:r w:rsidR="008B3A63">
        <w:rPr>
          <w:rFonts w:ascii="Times New Roman" w:hAnsi="Times New Roman" w:cs="Times New Roman"/>
          <w:sz w:val="28"/>
          <w:szCs w:val="28"/>
        </w:rPr>
        <w:t>.</w:t>
      </w:r>
    </w:p>
    <w:p w14:paraId="2F3CFC6E" w14:textId="5DFF8434" w:rsidR="00FF6FE7" w:rsidRDefault="00F11BA4"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t>Anc</w:t>
      </w:r>
      <w:r w:rsidR="00A64A7B">
        <w:rPr>
          <w:rFonts w:ascii="Times New Roman" w:hAnsi="Times New Roman" w:cs="Times New Roman"/>
          <w:sz w:val="28"/>
          <w:szCs w:val="28"/>
        </w:rPr>
        <w:t>ora, in sede di conversione del cd Milleproroghe, l’a</w:t>
      </w:r>
      <w:r w:rsidR="008C2F23" w:rsidRPr="008C2F23">
        <w:rPr>
          <w:rFonts w:ascii="Times New Roman" w:hAnsi="Times New Roman" w:cs="Times New Roman"/>
          <w:sz w:val="28"/>
          <w:szCs w:val="28"/>
        </w:rPr>
        <w:t>rt</w:t>
      </w:r>
      <w:r w:rsidR="00A64A7B">
        <w:rPr>
          <w:rFonts w:ascii="Times New Roman" w:hAnsi="Times New Roman" w:cs="Times New Roman"/>
          <w:sz w:val="28"/>
          <w:szCs w:val="28"/>
        </w:rPr>
        <w:t>.</w:t>
      </w:r>
      <w:r w:rsidR="008C2F23" w:rsidRPr="008C2F23">
        <w:rPr>
          <w:rFonts w:ascii="Times New Roman" w:hAnsi="Times New Roman" w:cs="Times New Roman"/>
          <w:sz w:val="28"/>
          <w:szCs w:val="28"/>
        </w:rPr>
        <w:t xml:space="preserve"> 1, comma 20-bis (Attribuzioni provvisorie delle titolarità di sedi di segreteria comunale</w:t>
      </w:r>
      <w:r w:rsidR="00426317">
        <w:rPr>
          <w:rFonts w:ascii="Times New Roman" w:hAnsi="Times New Roman" w:cs="Times New Roman"/>
          <w:sz w:val="28"/>
          <w:szCs w:val="28"/>
        </w:rPr>
        <w:t>)</w:t>
      </w:r>
      <w:r w:rsidR="00363986">
        <w:rPr>
          <w:rFonts w:ascii="Times New Roman" w:hAnsi="Times New Roman" w:cs="Times New Roman"/>
          <w:sz w:val="28"/>
          <w:szCs w:val="28"/>
        </w:rPr>
        <w:t>,</w:t>
      </w:r>
      <w:r w:rsidR="003E3732">
        <w:rPr>
          <w:rFonts w:ascii="Times New Roman" w:hAnsi="Times New Roman" w:cs="Times New Roman"/>
          <w:sz w:val="28"/>
          <w:szCs w:val="28"/>
        </w:rPr>
        <w:t xml:space="preserve"> </w:t>
      </w:r>
      <w:r w:rsidR="00E761ED">
        <w:rPr>
          <w:rFonts w:ascii="Times New Roman" w:hAnsi="Times New Roman" w:cs="Times New Roman"/>
          <w:sz w:val="28"/>
          <w:szCs w:val="28"/>
        </w:rPr>
        <w:t xml:space="preserve">della L. n. 14/2023 </w:t>
      </w:r>
      <w:r w:rsidR="008D4DC9" w:rsidRPr="008D4DC9">
        <w:rPr>
          <w:rFonts w:ascii="Times New Roman" w:hAnsi="Times New Roman" w:cs="Times New Roman"/>
          <w:sz w:val="28"/>
          <w:szCs w:val="28"/>
        </w:rPr>
        <w:t xml:space="preserve">modifica la normativa transitoria </w:t>
      </w:r>
      <w:r w:rsidR="005942C5">
        <w:rPr>
          <w:rFonts w:ascii="Times New Roman" w:hAnsi="Times New Roman" w:cs="Times New Roman"/>
          <w:sz w:val="28"/>
          <w:szCs w:val="28"/>
        </w:rPr>
        <w:t>introdotta dal</w:t>
      </w:r>
      <w:r w:rsidR="005942C5" w:rsidRPr="005942C5">
        <w:rPr>
          <w:rFonts w:ascii="Times New Roman" w:hAnsi="Times New Roman" w:cs="Times New Roman"/>
          <w:sz w:val="28"/>
          <w:szCs w:val="28"/>
        </w:rPr>
        <w:t>l’art. 12-bis del D.L. n. 4/2022, come convertito con L. n. 25/202</w:t>
      </w:r>
      <w:r w:rsidR="005556CE">
        <w:rPr>
          <w:rFonts w:ascii="Times New Roman" w:hAnsi="Times New Roman" w:cs="Times New Roman"/>
          <w:sz w:val="28"/>
          <w:szCs w:val="28"/>
        </w:rPr>
        <w:t>2</w:t>
      </w:r>
      <w:r w:rsidR="005942C5">
        <w:rPr>
          <w:rFonts w:ascii="Times New Roman" w:hAnsi="Times New Roman" w:cs="Times New Roman"/>
          <w:sz w:val="28"/>
          <w:szCs w:val="28"/>
        </w:rPr>
        <w:t xml:space="preserve"> </w:t>
      </w:r>
      <w:r w:rsidR="008D4DC9" w:rsidRPr="008D4DC9">
        <w:rPr>
          <w:rFonts w:ascii="Times New Roman" w:hAnsi="Times New Roman" w:cs="Times New Roman"/>
          <w:sz w:val="28"/>
          <w:szCs w:val="28"/>
        </w:rPr>
        <w:t>che consente, a determinate condizioni, l'attribuzione, in via provvisoria, ad un segretario comunale iscritto nella fascia iniziale di accesso in carriera la titolarità di sedi, singole o convenzionate, di competenza della fascia professionale immediatamente superiore. La modifica eleva la durata massima di tale attribuzione provvisoria</w:t>
      </w:r>
      <w:r w:rsidR="00D60BED">
        <w:rPr>
          <w:rStyle w:val="Rimandonotaapidipagina"/>
          <w:rFonts w:ascii="Times New Roman" w:hAnsi="Times New Roman" w:cs="Times New Roman"/>
          <w:sz w:val="28"/>
          <w:szCs w:val="28"/>
        </w:rPr>
        <w:footnoteReference w:id="4"/>
      </w:r>
      <w:r w:rsidR="008D4DC9">
        <w:rPr>
          <w:rFonts w:ascii="Times New Roman" w:hAnsi="Times New Roman" w:cs="Times New Roman"/>
          <w:sz w:val="28"/>
          <w:szCs w:val="28"/>
        </w:rPr>
        <w:t>.</w:t>
      </w:r>
      <w:r w:rsidR="006F4C9C">
        <w:rPr>
          <w:rFonts w:ascii="Times New Roman" w:hAnsi="Times New Roman" w:cs="Times New Roman"/>
          <w:sz w:val="28"/>
          <w:szCs w:val="28"/>
        </w:rPr>
        <w:t xml:space="preserve"> Ovviamente la modifica </w:t>
      </w:r>
      <w:r w:rsidR="005942C5">
        <w:rPr>
          <w:rFonts w:ascii="Times New Roman" w:hAnsi="Times New Roman" w:cs="Times New Roman"/>
          <w:sz w:val="28"/>
          <w:szCs w:val="28"/>
        </w:rPr>
        <w:t>tende ad assolvere</w:t>
      </w:r>
      <w:r w:rsidR="00E63E03">
        <w:rPr>
          <w:rFonts w:ascii="Times New Roman" w:hAnsi="Times New Roman" w:cs="Times New Roman"/>
          <w:sz w:val="28"/>
          <w:szCs w:val="28"/>
        </w:rPr>
        <w:t>,</w:t>
      </w:r>
      <w:r w:rsidR="005942C5">
        <w:rPr>
          <w:rFonts w:ascii="Times New Roman" w:hAnsi="Times New Roman" w:cs="Times New Roman"/>
          <w:sz w:val="28"/>
          <w:szCs w:val="28"/>
        </w:rPr>
        <w:t xml:space="preserve"> per un periodo di tempo maggiore</w:t>
      </w:r>
      <w:r w:rsidR="00E63E03">
        <w:rPr>
          <w:rFonts w:ascii="Times New Roman" w:hAnsi="Times New Roman" w:cs="Times New Roman"/>
          <w:sz w:val="28"/>
          <w:szCs w:val="28"/>
        </w:rPr>
        <w:t>,</w:t>
      </w:r>
      <w:r w:rsidR="005942C5">
        <w:rPr>
          <w:rFonts w:ascii="Times New Roman" w:hAnsi="Times New Roman" w:cs="Times New Roman"/>
          <w:sz w:val="28"/>
          <w:szCs w:val="28"/>
        </w:rPr>
        <w:t xml:space="preserve"> alla finalità della norma oggetto di proroga, ossia</w:t>
      </w:r>
      <w:r w:rsidR="00E80612">
        <w:rPr>
          <w:rFonts w:ascii="Times New Roman" w:hAnsi="Times New Roman" w:cs="Times New Roman"/>
          <w:sz w:val="28"/>
          <w:szCs w:val="28"/>
        </w:rPr>
        <w:t xml:space="preserve"> a</w:t>
      </w:r>
      <w:r w:rsidR="005942C5">
        <w:rPr>
          <w:rFonts w:ascii="Times New Roman" w:hAnsi="Times New Roman" w:cs="Times New Roman"/>
          <w:sz w:val="28"/>
          <w:szCs w:val="28"/>
        </w:rPr>
        <w:t xml:space="preserve"> </w:t>
      </w:r>
      <w:r w:rsidR="005942C5" w:rsidRPr="005942C5">
        <w:rPr>
          <w:rFonts w:ascii="Times New Roman" w:hAnsi="Times New Roman" w:cs="Times New Roman"/>
          <w:sz w:val="28"/>
          <w:szCs w:val="28"/>
        </w:rPr>
        <w:t>“</w:t>
      </w:r>
      <w:r w:rsidR="005942C5" w:rsidRPr="005942C5">
        <w:rPr>
          <w:rFonts w:ascii="Times New Roman" w:hAnsi="Times New Roman" w:cs="Times New Roman"/>
          <w:i/>
          <w:iCs/>
          <w:sz w:val="28"/>
          <w:szCs w:val="28"/>
          <w:u w:val="single"/>
        </w:rPr>
        <w:t>supportare gli enti locali per l’attuazione degli interventi e la realizzazione degli obiettivi previsti dal Piano nazionale di ripresa e resilienza (PNRR)</w:t>
      </w:r>
      <w:r w:rsidR="00E80612">
        <w:rPr>
          <w:rFonts w:ascii="Times New Roman" w:hAnsi="Times New Roman" w:cs="Times New Roman"/>
          <w:i/>
          <w:iCs/>
          <w:sz w:val="28"/>
          <w:szCs w:val="28"/>
        </w:rPr>
        <w:t>.</w:t>
      </w:r>
    </w:p>
    <w:p w14:paraId="701E64B7" w14:textId="5D67EAC5" w:rsidR="008D4DC9" w:rsidRDefault="008D4DC9" w:rsidP="00FC365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Ebbene tutte queste misure </w:t>
      </w:r>
      <w:r w:rsidR="00557031">
        <w:rPr>
          <w:rFonts w:ascii="Times New Roman" w:hAnsi="Times New Roman" w:cs="Times New Roman"/>
          <w:sz w:val="28"/>
          <w:szCs w:val="28"/>
        </w:rPr>
        <w:t xml:space="preserve">sono state </w:t>
      </w:r>
      <w:r w:rsidR="00E761ED">
        <w:rPr>
          <w:rFonts w:ascii="Times New Roman" w:hAnsi="Times New Roman" w:cs="Times New Roman"/>
          <w:sz w:val="28"/>
          <w:szCs w:val="28"/>
        </w:rPr>
        <w:t xml:space="preserve">giustificate proprio </w:t>
      </w:r>
      <w:r w:rsidR="008B3CE0">
        <w:rPr>
          <w:rFonts w:ascii="Times New Roman" w:hAnsi="Times New Roman" w:cs="Times New Roman"/>
          <w:sz w:val="28"/>
          <w:szCs w:val="28"/>
        </w:rPr>
        <w:t xml:space="preserve">nell’ottica del raggiungimento </w:t>
      </w:r>
      <w:r w:rsidR="005827EE">
        <w:rPr>
          <w:rFonts w:ascii="Times New Roman" w:hAnsi="Times New Roman" w:cs="Times New Roman"/>
          <w:sz w:val="28"/>
          <w:szCs w:val="28"/>
        </w:rPr>
        <w:t>degli obiettivi del PNRR</w:t>
      </w:r>
      <w:r w:rsidR="00273F2C">
        <w:rPr>
          <w:rFonts w:ascii="Times New Roman" w:hAnsi="Times New Roman" w:cs="Times New Roman"/>
          <w:sz w:val="28"/>
          <w:szCs w:val="28"/>
        </w:rPr>
        <w:t>, come emerge dal tenore letterale delle stesse</w:t>
      </w:r>
      <w:r w:rsidR="006F4C9C">
        <w:rPr>
          <w:rFonts w:ascii="Times New Roman" w:hAnsi="Times New Roman" w:cs="Times New Roman"/>
          <w:sz w:val="28"/>
          <w:szCs w:val="28"/>
        </w:rPr>
        <w:t>.</w:t>
      </w:r>
      <w:r w:rsidR="00FE4051">
        <w:rPr>
          <w:rFonts w:ascii="Times New Roman" w:hAnsi="Times New Roman" w:cs="Times New Roman"/>
          <w:sz w:val="28"/>
          <w:szCs w:val="28"/>
        </w:rPr>
        <w:t xml:space="preserve"> </w:t>
      </w:r>
      <w:r w:rsidR="005B60F5" w:rsidRPr="005B60F5">
        <w:rPr>
          <w:rFonts w:ascii="Times New Roman" w:hAnsi="Times New Roman" w:cs="Times New Roman"/>
          <w:b/>
          <w:bCs/>
          <w:sz w:val="28"/>
          <w:szCs w:val="28"/>
        </w:rPr>
        <w:t>È</w:t>
      </w:r>
      <w:r w:rsidR="00FE4051" w:rsidRPr="005B60F5">
        <w:rPr>
          <w:rFonts w:ascii="Times New Roman" w:hAnsi="Times New Roman" w:cs="Times New Roman"/>
          <w:b/>
          <w:bCs/>
          <w:sz w:val="28"/>
          <w:szCs w:val="28"/>
        </w:rPr>
        <w:t xml:space="preserve"> pertanto la legislazione stessa che ritiene </w:t>
      </w:r>
      <w:r w:rsidR="00B060A5" w:rsidRPr="005B60F5">
        <w:rPr>
          <w:rFonts w:ascii="Times New Roman" w:hAnsi="Times New Roman" w:cs="Times New Roman"/>
          <w:b/>
          <w:bCs/>
          <w:sz w:val="28"/>
          <w:szCs w:val="28"/>
        </w:rPr>
        <w:t xml:space="preserve">giustamente fondamentale la figura del </w:t>
      </w:r>
      <w:r w:rsidR="00BD3D38">
        <w:rPr>
          <w:rFonts w:ascii="Times New Roman" w:hAnsi="Times New Roman" w:cs="Times New Roman"/>
          <w:b/>
          <w:bCs/>
          <w:sz w:val="28"/>
          <w:szCs w:val="28"/>
        </w:rPr>
        <w:t>segretari</w:t>
      </w:r>
      <w:r w:rsidR="00B060A5" w:rsidRPr="005B60F5">
        <w:rPr>
          <w:rFonts w:ascii="Times New Roman" w:hAnsi="Times New Roman" w:cs="Times New Roman"/>
          <w:b/>
          <w:bCs/>
          <w:sz w:val="28"/>
          <w:szCs w:val="28"/>
        </w:rPr>
        <w:t>o all’interno degli enti locali per il raggiungimento degli obiettivi del PNRR</w:t>
      </w:r>
      <w:r w:rsidR="005B60F5">
        <w:rPr>
          <w:rFonts w:ascii="Times New Roman" w:hAnsi="Times New Roman" w:cs="Times New Roman"/>
          <w:sz w:val="28"/>
          <w:szCs w:val="28"/>
        </w:rPr>
        <w:t>.</w:t>
      </w:r>
    </w:p>
    <w:p w14:paraId="0AD638A5" w14:textId="48C7DC53" w:rsidR="00326990" w:rsidRPr="00326990" w:rsidRDefault="00EF4EC9" w:rsidP="00326990">
      <w:pPr>
        <w:spacing w:line="360" w:lineRule="auto"/>
        <w:jc w:val="both"/>
        <w:rPr>
          <w:rFonts w:ascii="Times New Roman" w:hAnsi="Times New Roman" w:cs="Times New Roman"/>
          <w:sz w:val="28"/>
          <w:szCs w:val="28"/>
        </w:rPr>
      </w:pPr>
      <w:r>
        <w:rPr>
          <w:rFonts w:ascii="Times New Roman" w:hAnsi="Times New Roman" w:cs="Times New Roman"/>
          <w:sz w:val="28"/>
          <w:szCs w:val="28"/>
        </w:rPr>
        <w:t>Occorre rilevare, tuttavia</w:t>
      </w:r>
      <w:r w:rsidR="00326990" w:rsidRPr="00326990">
        <w:rPr>
          <w:rFonts w:ascii="Times New Roman" w:hAnsi="Times New Roman" w:cs="Times New Roman"/>
          <w:sz w:val="28"/>
          <w:szCs w:val="28"/>
        </w:rPr>
        <w:t xml:space="preserve">, </w:t>
      </w:r>
      <w:r w:rsidR="001D24EE">
        <w:rPr>
          <w:rFonts w:ascii="Times New Roman" w:hAnsi="Times New Roman" w:cs="Times New Roman"/>
          <w:sz w:val="28"/>
          <w:szCs w:val="28"/>
        </w:rPr>
        <w:t xml:space="preserve">che da sempre </w:t>
      </w:r>
      <w:r w:rsidR="005F7D32">
        <w:rPr>
          <w:rFonts w:ascii="Times New Roman" w:hAnsi="Times New Roman" w:cs="Times New Roman"/>
          <w:sz w:val="28"/>
          <w:szCs w:val="28"/>
        </w:rPr>
        <w:t xml:space="preserve">la nostra organizzazione, ma si tratta di una posizione comune </w:t>
      </w:r>
      <w:r w:rsidR="00D13BF8">
        <w:rPr>
          <w:rFonts w:ascii="Times New Roman" w:hAnsi="Times New Roman" w:cs="Times New Roman"/>
          <w:sz w:val="28"/>
          <w:szCs w:val="28"/>
        </w:rPr>
        <w:t>espressa anche dall’</w:t>
      </w:r>
      <w:r w:rsidR="00802F39">
        <w:rPr>
          <w:rFonts w:ascii="Times New Roman" w:hAnsi="Times New Roman" w:cs="Times New Roman"/>
          <w:sz w:val="28"/>
          <w:szCs w:val="28"/>
        </w:rPr>
        <w:t>ANCI</w:t>
      </w:r>
      <w:r w:rsidR="00D13BF8">
        <w:rPr>
          <w:rFonts w:ascii="Times New Roman" w:hAnsi="Times New Roman" w:cs="Times New Roman"/>
          <w:sz w:val="28"/>
          <w:szCs w:val="28"/>
        </w:rPr>
        <w:t>, ha</w:t>
      </w:r>
      <w:r w:rsidR="00802F39">
        <w:rPr>
          <w:rFonts w:ascii="Times New Roman" w:hAnsi="Times New Roman" w:cs="Times New Roman"/>
          <w:sz w:val="28"/>
          <w:szCs w:val="28"/>
        </w:rPr>
        <w:t xml:space="preserve"> fatto presente che </w:t>
      </w:r>
      <w:r w:rsidR="00140C53">
        <w:rPr>
          <w:rFonts w:ascii="Times New Roman" w:hAnsi="Times New Roman" w:cs="Times New Roman"/>
          <w:sz w:val="28"/>
          <w:szCs w:val="28"/>
        </w:rPr>
        <w:t>“</w:t>
      </w:r>
      <w:r w:rsidR="00326990" w:rsidRPr="00326990">
        <w:rPr>
          <w:rFonts w:ascii="Times New Roman" w:hAnsi="Times New Roman" w:cs="Times New Roman"/>
          <w:sz w:val="28"/>
          <w:szCs w:val="28"/>
        </w:rPr>
        <w:t xml:space="preserve">per una più stabile soluzione del problema della spesa del trattamento economico del </w:t>
      </w:r>
      <w:r w:rsidR="00BD3D38">
        <w:rPr>
          <w:rFonts w:ascii="Times New Roman" w:hAnsi="Times New Roman" w:cs="Times New Roman"/>
          <w:sz w:val="28"/>
          <w:szCs w:val="28"/>
        </w:rPr>
        <w:t>segretari</w:t>
      </w:r>
      <w:r w:rsidR="00326990" w:rsidRPr="00326990">
        <w:rPr>
          <w:rFonts w:ascii="Times New Roman" w:hAnsi="Times New Roman" w:cs="Times New Roman"/>
          <w:sz w:val="28"/>
          <w:szCs w:val="28"/>
        </w:rPr>
        <w:t>o nei piccoli comuni</w:t>
      </w:r>
      <w:r w:rsidR="00EE43ED">
        <w:rPr>
          <w:rFonts w:ascii="Times New Roman" w:hAnsi="Times New Roman" w:cs="Times New Roman"/>
          <w:sz w:val="28"/>
          <w:szCs w:val="28"/>
        </w:rPr>
        <w:t>,</w:t>
      </w:r>
      <w:r w:rsidR="00326990" w:rsidRPr="00326990">
        <w:rPr>
          <w:rFonts w:ascii="Times New Roman" w:hAnsi="Times New Roman" w:cs="Times New Roman"/>
          <w:sz w:val="28"/>
          <w:szCs w:val="28"/>
        </w:rPr>
        <w:t xml:space="preserve"> </w:t>
      </w:r>
      <w:r w:rsidR="00326990" w:rsidRPr="009F3D53">
        <w:rPr>
          <w:rFonts w:ascii="Times New Roman" w:hAnsi="Times New Roman" w:cs="Times New Roman"/>
          <w:sz w:val="28"/>
          <w:szCs w:val="28"/>
          <w:u w:val="single"/>
        </w:rPr>
        <w:t>l’unica misura davvero risolutiva consist</w:t>
      </w:r>
      <w:r w:rsidR="005A63D8">
        <w:rPr>
          <w:rFonts w:ascii="Times New Roman" w:hAnsi="Times New Roman" w:cs="Times New Roman"/>
          <w:sz w:val="28"/>
          <w:szCs w:val="28"/>
          <w:u w:val="single"/>
        </w:rPr>
        <w:t>e</w:t>
      </w:r>
      <w:r w:rsidR="00326990" w:rsidRPr="009F3D53">
        <w:rPr>
          <w:rFonts w:ascii="Times New Roman" w:hAnsi="Times New Roman" w:cs="Times New Roman"/>
          <w:sz w:val="28"/>
          <w:szCs w:val="28"/>
          <w:u w:val="single"/>
        </w:rPr>
        <w:t xml:space="preserve"> nell’escluderne il trattamento economico dal computo degli attuali tetti di spesa del personale, complessivi e di trattamento accessorio</w:t>
      </w:r>
      <w:r w:rsidR="00326990" w:rsidRPr="00326990">
        <w:rPr>
          <w:rFonts w:ascii="Times New Roman" w:hAnsi="Times New Roman" w:cs="Times New Roman"/>
          <w:sz w:val="28"/>
          <w:szCs w:val="28"/>
        </w:rPr>
        <w:t>. Molti nuovi iscritti all’Albo non riescono ad ottenere la prima nomina proprio a causa delle difficoltà per i piccoli enti di rispettare i vincoli in materia di spesa di personale. In altri termini, le difficoltà non solo soltanto e non sempre di reale disponibilità economica dell’ente, quanto dell’impossibilità di quest’ultimo di rispettare i vincoli di spesa del personale.</w:t>
      </w:r>
    </w:p>
    <w:p w14:paraId="5747BCCD" w14:textId="77777777" w:rsidR="00326990" w:rsidRPr="00326990" w:rsidRDefault="00326990" w:rsidP="00326990">
      <w:pPr>
        <w:spacing w:line="360" w:lineRule="auto"/>
        <w:jc w:val="both"/>
        <w:rPr>
          <w:rFonts w:ascii="Times New Roman" w:hAnsi="Times New Roman" w:cs="Times New Roman"/>
          <w:sz w:val="28"/>
          <w:szCs w:val="28"/>
        </w:rPr>
      </w:pPr>
      <w:r w:rsidRPr="00326990">
        <w:rPr>
          <w:rFonts w:ascii="Times New Roman" w:hAnsi="Times New Roman" w:cs="Times New Roman"/>
          <w:sz w:val="28"/>
          <w:szCs w:val="28"/>
        </w:rPr>
        <w:t>A tal fine, in ordine alla sostenibilità economica di tale misura, si evidenzia che la spesa per i segretari è già:</w:t>
      </w:r>
    </w:p>
    <w:p w14:paraId="7622DA6A" w14:textId="77777777" w:rsidR="00326990" w:rsidRPr="00326990" w:rsidRDefault="00326990" w:rsidP="00326990">
      <w:pPr>
        <w:spacing w:line="360" w:lineRule="auto"/>
        <w:jc w:val="both"/>
        <w:rPr>
          <w:rFonts w:ascii="Times New Roman" w:hAnsi="Times New Roman" w:cs="Times New Roman"/>
          <w:sz w:val="28"/>
          <w:szCs w:val="28"/>
        </w:rPr>
      </w:pPr>
      <w:r w:rsidRPr="00326990">
        <w:rPr>
          <w:rFonts w:ascii="Times New Roman" w:hAnsi="Times New Roman" w:cs="Times New Roman"/>
          <w:sz w:val="28"/>
          <w:szCs w:val="28"/>
        </w:rPr>
        <w:t>-</w:t>
      </w:r>
      <w:r w:rsidRPr="00326990">
        <w:rPr>
          <w:rFonts w:ascii="Times New Roman" w:hAnsi="Times New Roman" w:cs="Times New Roman"/>
          <w:sz w:val="28"/>
          <w:szCs w:val="28"/>
        </w:rPr>
        <w:tab/>
        <w:t>autorizzata a monte dal Governo in sede di programmazione del fabbisogno assunzionale ed a tal fine prevista in termini di macro aggregati nei documenti di bilancio dello stato;</w:t>
      </w:r>
    </w:p>
    <w:p w14:paraId="3221FB76" w14:textId="77777777" w:rsidR="00326990" w:rsidRPr="00326990" w:rsidRDefault="00326990" w:rsidP="00326990">
      <w:pPr>
        <w:spacing w:line="360" w:lineRule="auto"/>
        <w:jc w:val="both"/>
        <w:rPr>
          <w:rFonts w:ascii="Times New Roman" w:hAnsi="Times New Roman" w:cs="Times New Roman"/>
          <w:sz w:val="28"/>
          <w:szCs w:val="28"/>
        </w:rPr>
      </w:pPr>
      <w:r w:rsidRPr="00326990">
        <w:rPr>
          <w:rFonts w:ascii="Times New Roman" w:hAnsi="Times New Roman" w:cs="Times New Roman"/>
          <w:sz w:val="28"/>
          <w:szCs w:val="28"/>
        </w:rPr>
        <w:t>-</w:t>
      </w:r>
      <w:r w:rsidRPr="00326990">
        <w:rPr>
          <w:rFonts w:ascii="Times New Roman" w:hAnsi="Times New Roman" w:cs="Times New Roman"/>
          <w:sz w:val="28"/>
          <w:szCs w:val="28"/>
        </w:rPr>
        <w:tab/>
        <w:t>ne è prova che la spesa per l’incarico di segretario nei singoli enti NON intacca la capacità assunzionale del singolo ente, come viceversa dovrebbe essere se si trattasse di assunzioni del singolo ente;</w:t>
      </w:r>
    </w:p>
    <w:p w14:paraId="5CB8A785" w14:textId="54931878" w:rsidR="00326990" w:rsidRPr="00326990" w:rsidRDefault="00326990" w:rsidP="00326990">
      <w:pPr>
        <w:spacing w:line="360" w:lineRule="auto"/>
        <w:jc w:val="both"/>
        <w:rPr>
          <w:rFonts w:ascii="Times New Roman" w:hAnsi="Times New Roman" w:cs="Times New Roman"/>
          <w:sz w:val="28"/>
          <w:szCs w:val="28"/>
        </w:rPr>
      </w:pPr>
      <w:r w:rsidRPr="00326990">
        <w:rPr>
          <w:rFonts w:ascii="Times New Roman" w:hAnsi="Times New Roman" w:cs="Times New Roman"/>
          <w:sz w:val="28"/>
          <w:szCs w:val="28"/>
        </w:rPr>
        <w:t>-</w:t>
      </w:r>
      <w:r w:rsidRPr="00326990">
        <w:rPr>
          <w:rFonts w:ascii="Times New Roman" w:hAnsi="Times New Roman" w:cs="Times New Roman"/>
          <w:sz w:val="28"/>
          <w:szCs w:val="28"/>
        </w:rPr>
        <w:tab/>
        <w:t xml:space="preserve">se, dunque, il reclutamento dei segretari e la programmazione del fabbisogno sono governati a livello nazionale, diventa irrilevante il computo della spesa nei singoli enti. Che, ad esempio, un singolo ente aumenti la spesa per un segretario, perché, essendone privo, se ne dota nominando il titolare, comporterà sempre che vi sia una </w:t>
      </w:r>
      <w:r w:rsidRPr="00326990">
        <w:rPr>
          <w:rFonts w:ascii="Times New Roman" w:hAnsi="Times New Roman" w:cs="Times New Roman"/>
          <w:sz w:val="28"/>
          <w:szCs w:val="28"/>
        </w:rPr>
        <w:lastRenderedPageBreak/>
        <w:t>correlata diminuzione della spesa in altro ente, cioè quello dal quale proviene. Questo perché il numero di segretari non è variabile, non dipende dalle scelte dei singoli comuni, ma è sempre determinato a monte, essendo pari a quelli immessi nell’albo, cioè solo quelli preventivamente autorizzati dal fabbisogno in sede nazionale</w:t>
      </w:r>
      <w:r w:rsidR="003E764A">
        <w:rPr>
          <w:rFonts w:ascii="Times New Roman" w:hAnsi="Times New Roman" w:cs="Times New Roman"/>
          <w:sz w:val="28"/>
          <w:szCs w:val="28"/>
        </w:rPr>
        <w:t>;</w:t>
      </w:r>
    </w:p>
    <w:p w14:paraId="0A9AEABC" w14:textId="6F249A6B" w:rsidR="00326990" w:rsidRDefault="00326990" w:rsidP="00326990">
      <w:pPr>
        <w:spacing w:line="360" w:lineRule="auto"/>
        <w:jc w:val="both"/>
        <w:rPr>
          <w:rFonts w:ascii="Times New Roman" w:hAnsi="Times New Roman" w:cs="Times New Roman"/>
          <w:sz w:val="28"/>
          <w:szCs w:val="28"/>
        </w:rPr>
      </w:pPr>
      <w:r w:rsidRPr="00326990">
        <w:rPr>
          <w:rFonts w:ascii="Times New Roman" w:hAnsi="Times New Roman" w:cs="Times New Roman"/>
          <w:sz w:val="28"/>
          <w:szCs w:val="28"/>
        </w:rPr>
        <w:t>-</w:t>
      </w:r>
      <w:r w:rsidRPr="00326990">
        <w:rPr>
          <w:rFonts w:ascii="Times New Roman" w:hAnsi="Times New Roman" w:cs="Times New Roman"/>
          <w:sz w:val="28"/>
          <w:szCs w:val="28"/>
        </w:rPr>
        <w:tab/>
        <w:t>essa è inoltre interamente finanziata dai contratti collettivi di riferimento, i quali contemplano anche i limiti massimi di trattamento accessorio</w:t>
      </w:r>
      <w:r w:rsidR="00610B17">
        <w:rPr>
          <w:rFonts w:ascii="Times New Roman" w:hAnsi="Times New Roman" w:cs="Times New Roman"/>
          <w:sz w:val="28"/>
          <w:szCs w:val="28"/>
        </w:rPr>
        <w:t>”</w:t>
      </w:r>
      <w:r w:rsidR="00140C53">
        <w:rPr>
          <w:rStyle w:val="Rimandonotaapidipagina"/>
          <w:rFonts w:ascii="Times New Roman" w:hAnsi="Times New Roman" w:cs="Times New Roman"/>
          <w:sz w:val="28"/>
          <w:szCs w:val="28"/>
        </w:rPr>
        <w:footnoteReference w:id="5"/>
      </w:r>
      <w:r w:rsidRPr="00860FD0">
        <w:rPr>
          <w:rFonts w:ascii="Times New Roman" w:hAnsi="Times New Roman" w:cs="Times New Roman"/>
          <w:sz w:val="28"/>
          <w:szCs w:val="28"/>
        </w:rPr>
        <w:t>.</w:t>
      </w:r>
    </w:p>
    <w:p w14:paraId="264B6CF2" w14:textId="5AE717E3" w:rsidR="000C0DDC" w:rsidRPr="00B446BE" w:rsidRDefault="004A6D06" w:rsidP="00FC365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w:t>
      </w:r>
      <w:r w:rsidRPr="004A6D06">
        <w:rPr>
          <w:rFonts w:ascii="Times New Roman" w:hAnsi="Times New Roman" w:cs="Times New Roman"/>
          <w:b/>
          <w:bCs/>
          <w:sz w:val="28"/>
          <w:szCs w:val="28"/>
        </w:rPr>
        <w:t xml:space="preserve">’intervento previsto dall’art. 3, comma 6, del </w:t>
      </w:r>
      <w:r w:rsidR="004D29AC" w:rsidRPr="004A6D06">
        <w:rPr>
          <w:rFonts w:ascii="Times New Roman" w:hAnsi="Times New Roman" w:cs="Times New Roman"/>
          <w:b/>
          <w:bCs/>
          <w:sz w:val="28"/>
          <w:szCs w:val="28"/>
        </w:rPr>
        <w:t>decreto-legge</w:t>
      </w:r>
      <w:r w:rsidRPr="004A6D06">
        <w:rPr>
          <w:rFonts w:ascii="Times New Roman" w:hAnsi="Times New Roman" w:cs="Times New Roman"/>
          <w:b/>
          <w:bCs/>
          <w:sz w:val="28"/>
          <w:szCs w:val="28"/>
        </w:rPr>
        <w:t xml:space="preserve"> 44/2023, gli aspetti critici dello stesso e i correttivi auspicati</w:t>
      </w:r>
    </w:p>
    <w:p w14:paraId="707813CB" w14:textId="752E23E3" w:rsidR="00BE23DE" w:rsidRPr="00BE23DE" w:rsidRDefault="004A6D06" w:rsidP="00BE23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L’art. </w:t>
      </w:r>
      <w:r w:rsidR="00BE23DE" w:rsidRPr="00BE23DE">
        <w:rPr>
          <w:rFonts w:ascii="Times New Roman" w:hAnsi="Times New Roman" w:cs="Times New Roman"/>
          <w:sz w:val="28"/>
          <w:szCs w:val="28"/>
        </w:rPr>
        <w:t>3. (Disposizioni in materia di rafforzamento della capacità amministrativa degli enti territoriali)</w:t>
      </w:r>
      <w:r>
        <w:rPr>
          <w:rFonts w:ascii="Times New Roman" w:hAnsi="Times New Roman" w:cs="Times New Roman"/>
          <w:sz w:val="28"/>
          <w:szCs w:val="28"/>
        </w:rPr>
        <w:t xml:space="preserve"> del D.L. n</w:t>
      </w:r>
      <w:r w:rsidR="00D11B0B">
        <w:rPr>
          <w:rFonts w:ascii="Times New Roman" w:hAnsi="Times New Roman" w:cs="Times New Roman"/>
          <w:sz w:val="28"/>
          <w:szCs w:val="28"/>
        </w:rPr>
        <w:t xml:space="preserve">. 44/2023 al comma </w:t>
      </w:r>
      <w:r w:rsidR="00BE23DE" w:rsidRPr="00BE23DE">
        <w:rPr>
          <w:rFonts w:ascii="Times New Roman" w:hAnsi="Times New Roman" w:cs="Times New Roman"/>
          <w:sz w:val="28"/>
          <w:szCs w:val="28"/>
        </w:rPr>
        <w:t>6</w:t>
      </w:r>
      <w:r w:rsidR="00D11B0B">
        <w:rPr>
          <w:rFonts w:ascii="Times New Roman" w:hAnsi="Times New Roman" w:cs="Times New Roman"/>
          <w:sz w:val="28"/>
          <w:szCs w:val="28"/>
        </w:rPr>
        <w:t>, dispone “</w:t>
      </w:r>
      <w:r w:rsidR="00BE23DE" w:rsidRPr="00BE23DE">
        <w:rPr>
          <w:rFonts w:ascii="Times New Roman" w:hAnsi="Times New Roman" w:cs="Times New Roman"/>
          <w:i/>
          <w:iCs/>
          <w:sz w:val="28"/>
          <w:szCs w:val="28"/>
        </w:rPr>
        <w:t>Per gli anni 2023-2026, per i comuni sprovvisti di segretario comunale alla data di entrata in vigore del presente decreto, non rileva ai fini del rispetto dei limiti previsti dall’articolo 1, commi 557-quater e 562, della legge 27 dicembre 2006, n. 296 e dall’articolo 23, comma 2, del decreto legislativo 25 maggio 2017, n. 75, la spesa per il segretario comunale considerata al netto del contributo previsto dall’articolo 31-bis, comma 5, del decreto-legge 6 novembre 2021, n. 152, convertito, con modificazioni, dalla legge 29 dicembre 2021, n. 233</w:t>
      </w:r>
      <w:r w:rsidR="00D11B0B">
        <w:rPr>
          <w:rFonts w:ascii="Times New Roman" w:hAnsi="Times New Roman" w:cs="Times New Roman"/>
          <w:sz w:val="28"/>
          <w:szCs w:val="28"/>
        </w:rPr>
        <w:t>”</w:t>
      </w:r>
      <w:r w:rsidR="00BE23DE" w:rsidRPr="00BE23DE">
        <w:rPr>
          <w:rFonts w:ascii="Times New Roman" w:hAnsi="Times New Roman" w:cs="Times New Roman"/>
          <w:sz w:val="28"/>
          <w:szCs w:val="28"/>
        </w:rPr>
        <w:t>.</w:t>
      </w:r>
    </w:p>
    <w:p w14:paraId="7886FB93" w14:textId="74DA8342" w:rsidR="00015489" w:rsidRPr="00015489" w:rsidRDefault="00015489" w:rsidP="00015489">
      <w:pPr>
        <w:spacing w:line="360" w:lineRule="auto"/>
        <w:jc w:val="both"/>
        <w:rPr>
          <w:rFonts w:ascii="Times New Roman" w:hAnsi="Times New Roman" w:cs="Times New Roman"/>
          <w:sz w:val="28"/>
          <w:szCs w:val="28"/>
        </w:rPr>
      </w:pPr>
      <w:r w:rsidRPr="00015489">
        <w:rPr>
          <w:rFonts w:ascii="Times New Roman" w:hAnsi="Times New Roman" w:cs="Times New Roman"/>
          <w:sz w:val="28"/>
          <w:szCs w:val="28"/>
        </w:rPr>
        <w:t xml:space="preserve">La norma va in parte nella direzione auspicata, escludendo la spesa del segretario dai limiti di spesa del personale, anche quelli relativi al salario accessorio di cui all’art. 23 del </w:t>
      </w:r>
      <w:r w:rsidR="006569F6">
        <w:rPr>
          <w:rFonts w:ascii="Times New Roman" w:hAnsi="Times New Roman" w:cs="Times New Roman"/>
          <w:sz w:val="28"/>
          <w:szCs w:val="28"/>
        </w:rPr>
        <w:t>D</w:t>
      </w:r>
      <w:r w:rsidRPr="00015489">
        <w:rPr>
          <w:rFonts w:ascii="Times New Roman" w:hAnsi="Times New Roman" w:cs="Times New Roman"/>
          <w:sz w:val="28"/>
          <w:szCs w:val="28"/>
        </w:rPr>
        <w:t>.</w:t>
      </w:r>
      <w:r w:rsidR="006569F6">
        <w:rPr>
          <w:rFonts w:ascii="Times New Roman" w:hAnsi="Times New Roman" w:cs="Times New Roman"/>
          <w:sz w:val="28"/>
          <w:szCs w:val="28"/>
        </w:rPr>
        <w:t>L</w:t>
      </w:r>
      <w:r w:rsidRPr="00015489">
        <w:rPr>
          <w:rFonts w:ascii="Times New Roman" w:hAnsi="Times New Roman" w:cs="Times New Roman"/>
          <w:sz w:val="28"/>
          <w:szCs w:val="28"/>
        </w:rPr>
        <w:t xml:space="preserve">gs. </w:t>
      </w:r>
      <w:r w:rsidR="006569F6">
        <w:rPr>
          <w:rFonts w:ascii="Times New Roman" w:hAnsi="Times New Roman" w:cs="Times New Roman"/>
          <w:sz w:val="28"/>
          <w:szCs w:val="28"/>
        </w:rPr>
        <w:t xml:space="preserve">n. </w:t>
      </w:r>
      <w:r w:rsidRPr="00015489">
        <w:rPr>
          <w:rFonts w:ascii="Times New Roman" w:hAnsi="Times New Roman" w:cs="Times New Roman"/>
          <w:sz w:val="28"/>
          <w:szCs w:val="28"/>
        </w:rPr>
        <w:t>75/2017. Da tempo vengono proposte modifiche normative volte ad escludere tale voce dai tetti di spesa, al fine di fornire a tutti gli enti la possibilità di dotarsi di questa figura fondamentale per il funzionamento delle amministrazioni locali.</w:t>
      </w:r>
      <w:r w:rsidRPr="00015489">
        <w:rPr>
          <w:rFonts w:ascii="Times New Roman" w:hAnsi="Times New Roman" w:cs="Times New Roman"/>
          <w:sz w:val="28"/>
          <w:szCs w:val="28"/>
        </w:rPr>
        <w:br/>
        <w:t xml:space="preserve">Tuttavia, la norma appare fornire una risposta che consente ad alcuni enti, in modo del tutto casuale, di beneficiare del regime favorevole soltanto perché alla data di entrata </w:t>
      </w:r>
      <w:r w:rsidRPr="00015489">
        <w:rPr>
          <w:rFonts w:ascii="Times New Roman" w:hAnsi="Times New Roman" w:cs="Times New Roman"/>
          <w:sz w:val="28"/>
          <w:szCs w:val="28"/>
        </w:rPr>
        <w:lastRenderedPageBreak/>
        <w:t>in vigore del decreto legge (22 aprile 2023) erano privi di segretario comunale, a prescindere dai seguenti fattori:</w:t>
      </w:r>
    </w:p>
    <w:p w14:paraId="4F06AD54" w14:textId="77777777" w:rsidR="006569F6" w:rsidRDefault="006569F6" w:rsidP="00015489">
      <w:pPr>
        <w:numPr>
          <w:ilvl w:val="0"/>
          <w:numId w:val="13"/>
        </w:numPr>
        <w:spacing w:line="360" w:lineRule="auto"/>
        <w:jc w:val="both"/>
        <w:rPr>
          <w:rFonts w:ascii="Times New Roman" w:hAnsi="Times New Roman" w:cs="Times New Roman"/>
          <w:sz w:val="28"/>
          <w:szCs w:val="28"/>
        </w:rPr>
      </w:pPr>
      <w:r w:rsidRPr="00015489">
        <w:rPr>
          <w:rFonts w:ascii="Times New Roman" w:hAnsi="Times New Roman" w:cs="Times New Roman"/>
          <w:sz w:val="28"/>
          <w:szCs w:val="28"/>
        </w:rPr>
        <w:t>la dimensione degli enti, per cui anche le sedi di segreteria degli enti più grandi, se vacanti alla data del 22 aprile 2023, non dovranno considerare la spesa del segretario all’interno dei limiti tetti di spesa del personale</w:t>
      </w:r>
      <w:r>
        <w:rPr>
          <w:rFonts w:ascii="Times New Roman" w:hAnsi="Times New Roman" w:cs="Times New Roman"/>
          <w:sz w:val="28"/>
          <w:szCs w:val="28"/>
        </w:rPr>
        <w:t>;</w:t>
      </w:r>
    </w:p>
    <w:p w14:paraId="6D6E24C5" w14:textId="1115B326" w:rsidR="00015489" w:rsidRPr="00015489" w:rsidRDefault="00015489" w:rsidP="00015489">
      <w:pPr>
        <w:numPr>
          <w:ilvl w:val="0"/>
          <w:numId w:val="13"/>
        </w:numPr>
        <w:spacing w:line="360" w:lineRule="auto"/>
        <w:jc w:val="both"/>
        <w:rPr>
          <w:rFonts w:ascii="Times New Roman" w:hAnsi="Times New Roman" w:cs="Times New Roman"/>
          <w:sz w:val="28"/>
          <w:szCs w:val="28"/>
        </w:rPr>
      </w:pPr>
      <w:r w:rsidRPr="00015489">
        <w:rPr>
          <w:rFonts w:ascii="Times New Roman" w:hAnsi="Times New Roman" w:cs="Times New Roman"/>
          <w:sz w:val="28"/>
          <w:szCs w:val="28"/>
        </w:rPr>
        <w:t>se l’assenza del segretario comunale durasse da tempo o fosse una situazione momentanea</w:t>
      </w:r>
      <w:r w:rsidR="00116542">
        <w:rPr>
          <w:rFonts w:ascii="Times New Roman" w:hAnsi="Times New Roman" w:cs="Times New Roman"/>
          <w:sz w:val="28"/>
          <w:szCs w:val="28"/>
        </w:rPr>
        <w:t xml:space="preserve">. </w:t>
      </w:r>
      <w:r w:rsidR="00116542" w:rsidRPr="00116542">
        <w:rPr>
          <w:rFonts w:ascii="Times New Roman" w:hAnsi="Times New Roman" w:cs="Times New Roman"/>
          <w:sz w:val="28"/>
          <w:szCs w:val="28"/>
        </w:rPr>
        <w:t>Sul punto sia consentito rammentare che il sistema di nomina dei segretari nei singoli enti può comportare per alcuni periodi limitati di tempo che la sede sia vacante, per la sostituzione del precedente titolare. Pertanto, il fatto che una sede fosse vacante alla data del 22 aprile 2023 non equivale affatto a ritenere che quella sede non avesse possibilità in base alle regole di finanza pubblica esistenti a quella data di nominare un segretario.</w:t>
      </w:r>
    </w:p>
    <w:p w14:paraId="0522AD33" w14:textId="39ED283A" w:rsidR="00015489" w:rsidRDefault="004B3A87" w:rsidP="0035692F">
      <w:pPr>
        <w:spacing w:line="360" w:lineRule="auto"/>
        <w:jc w:val="both"/>
        <w:rPr>
          <w:rFonts w:ascii="Times New Roman" w:hAnsi="Times New Roman" w:cs="Times New Roman"/>
          <w:sz w:val="28"/>
          <w:szCs w:val="28"/>
        </w:rPr>
      </w:pPr>
      <w:r>
        <w:rPr>
          <w:rFonts w:ascii="Times New Roman" w:hAnsi="Times New Roman" w:cs="Times New Roman"/>
          <w:sz w:val="28"/>
          <w:szCs w:val="28"/>
        </w:rPr>
        <w:t>La situazione delle sedi di segreteria al 22 aprile 2023 era la seguente:</w:t>
      </w:r>
    </w:p>
    <w:tbl>
      <w:tblPr>
        <w:tblW w:w="6600" w:type="dxa"/>
        <w:jc w:val="center"/>
        <w:tblCellMar>
          <w:left w:w="70" w:type="dxa"/>
          <w:right w:w="70" w:type="dxa"/>
        </w:tblCellMar>
        <w:tblLook w:val="04A0" w:firstRow="1" w:lastRow="0" w:firstColumn="1" w:lastColumn="0" w:noHBand="0" w:noVBand="1"/>
      </w:tblPr>
      <w:tblGrid>
        <w:gridCol w:w="1924"/>
        <w:gridCol w:w="1540"/>
        <w:gridCol w:w="1560"/>
        <w:gridCol w:w="1540"/>
        <w:gridCol w:w="146"/>
      </w:tblGrid>
      <w:tr w:rsidR="004B3A87" w:rsidRPr="004B3A87" w14:paraId="752E3B3C" w14:textId="77777777" w:rsidTr="004B3A87">
        <w:trPr>
          <w:gridAfter w:val="1"/>
          <w:wAfter w:w="36" w:type="dxa"/>
          <w:trHeight w:val="1050"/>
          <w:jc w:val="center"/>
        </w:trPr>
        <w:tc>
          <w:tcPr>
            <w:tcW w:w="1924" w:type="dxa"/>
            <w:tcBorders>
              <w:top w:val="single" w:sz="4" w:space="0" w:color="auto"/>
              <w:left w:val="single" w:sz="4" w:space="0" w:color="auto"/>
              <w:bottom w:val="single" w:sz="4" w:space="0" w:color="auto"/>
              <w:right w:val="single" w:sz="4" w:space="0" w:color="auto"/>
            </w:tcBorders>
            <w:shd w:val="clear" w:color="000000" w:fill="66FFFF"/>
            <w:vAlign w:val="center"/>
            <w:hideMark/>
          </w:tcPr>
          <w:p w14:paraId="6987FAA7" w14:textId="77777777" w:rsidR="004B3A87" w:rsidRPr="004B3A87" w:rsidRDefault="004B3A87" w:rsidP="004B3A87">
            <w:pPr>
              <w:spacing w:after="0" w:line="240" w:lineRule="auto"/>
              <w:jc w:val="center"/>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 xml:space="preserve">TIPOLOGIA </w:t>
            </w:r>
            <w:r w:rsidRPr="004B3A87">
              <w:rPr>
                <w:rFonts w:ascii="Arial Narrow" w:eastAsia="Times New Roman" w:hAnsi="Arial Narrow" w:cs="Calibri"/>
                <w:b/>
                <w:bCs/>
                <w:color w:val="000000"/>
                <w:sz w:val="28"/>
                <w:szCs w:val="28"/>
                <w:lang w:eastAsia="it-IT"/>
              </w:rPr>
              <w:br/>
              <w:t>SEDI</w:t>
            </w:r>
          </w:p>
        </w:tc>
        <w:tc>
          <w:tcPr>
            <w:tcW w:w="1540" w:type="dxa"/>
            <w:tcBorders>
              <w:top w:val="single" w:sz="4" w:space="0" w:color="auto"/>
              <w:left w:val="nil"/>
              <w:bottom w:val="single" w:sz="4" w:space="0" w:color="auto"/>
              <w:right w:val="single" w:sz="4" w:space="0" w:color="auto"/>
            </w:tcBorders>
            <w:shd w:val="clear" w:color="000000" w:fill="66FFFF"/>
            <w:vAlign w:val="center"/>
            <w:hideMark/>
          </w:tcPr>
          <w:p w14:paraId="20A7C564" w14:textId="77777777" w:rsidR="004B3A87" w:rsidRPr="004B3A87" w:rsidRDefault="004B3A87" w:rsidP="004B3A87">
            <w:pPr>
              <w:spacing w:after="0" w:line="240" w:lineRule="auto"/>
              <w:jc w:val="center"/>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 xml:space="preserve">CON </w:t>
            </w:r>
            <w:r w:rsidRPr="004B3A87">
              <w:rPr>
                <w:rFonts w:ascii="Arial Narrow" w:eastAsia="Times New Roman" w:hAnsi="Arial Narrow" w:cs="Calibri"/>
                <w:b/>
                <w:bCs/>
                <w:color w:val="000000"/>
                <w:sz w:val="28"/>
                <w:szCs w:val="28"/>
                <w:lang w:eastAsia="it-IT"/>
              </w:rPr>
              <w:br/>
              <w:t>TITOLARE</w:t>
            </w:r>
          </w:p>
        </w:tc>
        <w:tc>
          <w:tcPr>
            <w:tcW w:w="1560" w:type="dxa"/>
            <w:tcBorders>
              <w:top w:val="single" w:sz="4" w:space="0" w:color="auto"/>
              <w:left w:val="nil"/>
              <w:bottom w:val="single" w:sz="4" w:space="0" w:color="auto"/>
              <w:right w:val="single" w:sz="4" w:space="0" w:color="auto"/>
            </w:tcBorders>
            <w:shd w:val="clear" w:color="000000" w:fill="66FFFF"/>
            <w:noWrap/>
            <w:vAlign w:val="center"/>
            <w:hideMark/>
          </w:tcPr>
          <w:p w14:paraId="5F4C564F" w14:textId="77777777" w:rsidR="004B3A87" w:rsidRPr="004B3A87" w:rsidRDefault="004B3A87" w:rsidP="004B3A87">
            <w:pPr>
              <w:spacing w:after="0" w:line="240" w:lineRule="auto"/>
              <w:jc w:val="center"/>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VACANTI</w:t>
            </w:r>
          </w:p>
        </w:tc>
        <w:tc>
          <w:tcPr>
            <w:tcW w:w="1540" w:type="dxa"/>
            <w:tcBorders>
              <w:top w:val="single" w:sz="4" w:space="0" w:color="auto"/>
              <w:left w:val="nil"/>
              <w:bottom w:val="single" w:sz="4" w:space="0" w:color="auto"/>
              <w:right w:val="single" w:sz="4" w:space="0" w:color="auto"/>
            </w:tcBorders>
            <w:shd w:val="clear" w:color="000000" w:fill="66FFFF"/>
            <w:noWrap/>
            <w:vAlign w:val="center"/>
            <w:hideMark/>
          </w:tcPr>
          <w:p w14:paraId="0E97EB65" w14:textId="77777777" w:rsidR="004B3A87" w:rsidRPr="004B3A87" w:rsidRDefault="004B3A87" w:rsidP="004B3A87">
            <w:pPr>
              <w:spacing w:after="0" w:line="240" w:lineRule="auto"/>
              <w:jc w:val="center"/>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TOTALE</w:t>
            </w:r>
          </w:p>
        </w:tc>
      </w:tr>
      <w:tr w:rsidR="004B3A87" w:rsidRPr="004B3A87" w14:paraId="42103D70" w14:textId="77777777" w:rsidTr="004B3A87">
        <w:trPr>
          <w:gridAfter w:val="1"/>
          <w:wAfter w:w="36" w:type="dxa"/>
          <w:trHeight w:val="600"/>
          <w:jc w:val="center"/>
        </w:trPr>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359D2"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Sedi di fascia A</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98BDA" w14:textId="77777777" w:rsidR="004B3A87" w:rsidRPr="004B3A87" w:rsidRDefault="004B3A87" w:rsidP="004B3A87">
            <w:pPr>
              <w:spacing w:after="0" w:line="240" w:lineRule="auto"/>
              <w:jc w:val="right"/>
              <w:rPr>
                <w:rFonts w:ascii="Arial Narrow" w:eastAsia="Times New Roman" w:hAnsi="Arial Narrow" w:cs="Calibri"/>
                <w:sz w:val="28"/>
                <w:szCs w:val="28"/>
                <w:lang w:eastAsia="it-IT"/>
              </w:rPr>
            </w:pPr>
            <w:r w:rsidRPr="004B3A87">
              <w:rPr>
                <w:rFonts w:ascii="Arial Narrow" w:eastAsia="Times New Roman" w:hAnsi="Arial Narrow" w:cs="Calibri"/>
                <w:sz w:val="28"/>
                <w:szCs w:val="28"/>
                <w:lang w:eastAsia="it-IT"/>
              </w:rPr>
              <w:t>507</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71DBD" w14:textId="77777777" w:rsidR="004B3A87" w:rsidRPr="004B3A87" w:rsidRDefault="004B3A87" w:rsidP="004B3A87">
            <w:pPr>
              <w:spacing w:after="0" w:line="240" w:lineRule="auto"/>
              <w:jc w:val="right"/>
              <w:rPr>
                <w:rFonts w:ascii="Arial Narrow" w:eastAsia="Times New Roman" w:hAnsi="Arial Narrow" w:cs="Calibri"/>
                <w:sz w:val="28"/>
                <w:szCs w:val="28"/>
                <w:lang w:eastAsia="it-IT"/>
              </w:rPr>
            </w:pPr>
            <w:r w:rsidRPr="004B3A87">
              <w:rPr>
                <w:rFonts w:ascii="Arial Narrow" w:eastAsia="Times New Roman" w:hAnsi="Arial Narrow" w:cs="Calibri"/>
                <w:sz w:val="28"/>
                <w:szCs w:val="28"/>
                <w:lang w:eastAsia="it-IT"/>
              </w:rPr>
              <w:t>28</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C9296" w14:textId="77777777" w:rsidR="004B3A87" w:rsidRPr="004B3A87" w:rsidRDefault="004B3A87" w:rsidP="004B3A87">
            <w:pPr>
              <w:spacing w:after="0" w:line="240" w:lineRule="auto"/>
              <w:jc w:val="right"/>
              <w:rPr>
                <w:rFonts w:ascii="Arial Narrow" w:eastAsia="Times New Roman" w:hAnsi="Arial Narrow" w:cs="Calibri"/>
                <w:b/>
                <w:bCs/>
                <w:sz w:val="28"/>
                <w:szCs w:val="28"/>
                <w:lang w:eastAsia="it-IT"/>
              </w:rPr>
            </w:pPr>
            <w:r w:rsidRPr="004B3A87">
              <w:rPr>
                <w:rFonts w:ascii="Arial Narrow" w:eastAsia="Times New Roman" w:hAnsi="Arial Narrow" w:cs="Calibri"/>
                <w:b/>
                <w:bCs/>
                <w:sz w:val="28"/>
                <w:szCs w:val="28"/>
                <w:lang w:eastAsia="it-IT"/>
              </w:rPr>
              <w:t>535</w:t>
            </w:r>
          </w:p>
        </w:tc>
      </w:tr>
      <w:tr w:rsidR="004B3A87" w:rsidRPr="004B3A87" w14:paraId="19A4CABE" w14:textId="77777777" w:rsidTr="004B3A87">
        <w:trPr>
          <w:trHeight w:val="600"/>
          <w:jc w:val="center"/>
        </w:trPr>
        <w:tc>
          <w:tcPr>
            <w:tcW w:w="1924" w:type="dxa"/>
            <w:vMerge/>
            <w:tcBorders>
              <w:top w:val="nil"/>
              <w:left w:val="single" w:sz="4" w:space="0" w:color="auto"/>
              <w:bottom w:val="single" w:sz="4" w:space="0" w:color="000000"/>
              <w:right w:val="single" w:sz="4" w:space="0" w:color="auto"/>
            </w:tcBorders>
            <w:vAlign w:val="center"/>
            <w:hideMark/>
          </w:tcPr>
          <w:p w14:paraId="0411CD54"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p>
        </w:tc>
        <w:tc>
          <w:tcPr>
            <w:tcW w:w="1540" w:type="dxa"/>
            <w:vMerge/>
            <w:tcBorders>
              <w:top w:val="nil"/>
              <w:left w:val="single" w:sz="4" w:space="0" w:color="auto"/>
              <w:bottom w:val="single" w:sz="4" w:space="0" w:color="000000"/>
              <w:right w:val="single" w:sz="4" w:space="0" w:color="auto"/>
            </w:tcBorders>
            <w:vAlign w:val="center"/>
            <w:hideMark/>
          </w:tcPr>
          <w:p w14:paraId="39FEC89D" w14:textId="77777777" w:rsidR="004B3A87" w:rsidRPr="004B3A87" w:rsidRDefault="004B3A87" w:rsidP="004B3A87">
            <w:pPr>
              <w:spacing w:after="0" w:line="240" w:lineRule="auto"/>
              <w:rPr>
                <w:rFonts w:ascii="Arial Narrow" w:eastAsia="Times New Roman" w:hAnsi="Arial Narrow" w:cs="Calibri"/>
                <w:sz w:val="28"/>
                <w:szCs w:val="28"/>
                <w:lang w:eastAsia="it-IT"/>
              </w:rPr>
            </w:pPr>
          </w:p>
        </w:tc>
        <w:tc>
          <w:tcPr>
            <w:tcW w:w="1560" w:type="dxa"/>
            <w:vMerge/>
            <w:tcBorders>
              <w:top w:val="nil"/>
              <w:left w:val="single" w:sz="4" w:space="0" w:color="auto"/>
              <w:bottom w:val="single" w:sz="4" w:space="0" w:color="000000"/>
              <w:right w:val="single" w:sz="4" w:space="0" w:color="auto"/>
            </w:tcBorders>
            <w:vAlign w:val="center"/>
            <w:hideMark/>
          </w:tcPr>
          <w:p w14:paraId="7E62F23E" w14:textId="77777777" w:rsidR="004B3A87" w:rsidRPr="004B3A87" w:rsidRDefault="004B3A87" w:rsidP="004B3A87">
            <w:pPr>
              <w:spacing w:after="0" w:line="240" w:lineRule="auto"/>
              <w:rPr>
                <w:rFonts w:ascii="Arial Narrow" w:eastAsia="Times New Roman" w:hAnsi="Arial Narrow" w:cs="Calibri"/>
                <w:sz w:val="28"/>
                <w:szCs w:val="28"/>
                <w:lang w:eastAsia="it-IT"/>
              </w:rPr>
            </w:pPr>
          </w:p>
        </w:tc>
        <w:tc>
          <w:tcPr>
            <w:tcW w:w="1540" w:type="dxa"/>
            <w:vMerge/>
            <w:tcBorders>
              <w:top w:val="nil"/>
              <w:left w:val="single" w:sz="4" w:space="0" w:color="auto"/>
              <w:bottom w:val="single" w:sz="4" w:space="0" w:color="000000"/>
              <w:right w:val="single" w:sz="4" w:space="0" w:color="auto"/>
            </w:tcBorders>
            <w:vAlign w:val="center"/>
            <w:hideMark/>
          </w:tcPr>
          <w:p w14:paraId="34F4321B" w14:textId="77777777" w:rsidR="004B3A87" w:rsidRPr="004B3A87" w:rsidRDefault="004B3A87" w:rsidP="004B3A87">
            <w:pPr>
              <w:spacing w:after="0" w:line="240" w:lineRule="auto"/>
              <w:rPr>
                <w:rFonts w:ascii="Arial Narrow" w:eastAsia="Times New Roman" w:hAnsi="Arial Narrow" w:cs="Calibri"/>
                <w:b/>
                <w:bCs/>
                <w:sz w:val="28"/>
                <w:szCs w:val="28"/>
                <w:lang w:eastAsia="it-IT"/>
              </w:rPr>
            </w:pPr>
          </w:p>
        </w:tc>
        <w:tc>
          <w:tcPr>
            <w:tcW w:w="36" w:type="dxa"/>
            <w:tcBorders>
              <w:top w:val="nil"/>
              <w:left w:val="nil"/>
              <w:bottom w:val="nil"/>
              <w:right w:val="nil"/>
            </w:tcBorders>
            <w:shd w:val="clear" w:color="auto" w:fill="auto"/>
            <w:noWrap/>
            <w:vAlign w:val="bottom"/>
            <w:hideMark/>
          </w:tcPr>
          <w:p w14:paraId="1732F9C5" w14:textId="77777777" w:rsidR="004B3A87" w:rsidRPr="004B3A87" w:rsidRDefault="004B3A87" w:rsidP="004B3A87">
            <w:pPr>
              <w:spacing w:after="0" w:line="240" w:lineRule="auto"/>
              <w:jc w:val="right"/>
              <w:rPr>
                <w:rFonts w:ascii="Arial Narrow" w:eastAsia="Times New Roman" w:hAnsi="Arial Narrow" w:cs="Calibri"/>
                <w:b/>
                <w:bCs/>
                <w:sz w:val="28"/>
                <w:szCs w:val="28"/>
                <w:lang w:eastAsia="it-IT"/>
              </w:rPr>
            </w:pPr>
          </w:p>
        </w:tc>
      </w:tr>
      <w:tr w:rsidR="004B3A87" w:rsidRPr="004B3A87" w14:paraId="4E13727A" w14:textId="77777777" w:rsidTr="004B3A87">
        <w:trPr>
          <w:trHeight w:val="600"/>
          <w:jc w:val="center"/>
        </w:trPr>
        <w:tc>
          <w:tcPr>
            <w:tcW w:w="1924" w:type="dxa"/>
            <w:vMerge w:val="restart"/>
            <w:tcBorders>
              <w:top w:val="nil"/>
              <w:left w:val="single" w:sz="4" w:space="0" w:color="auto"/>
              <w:bottom w:val="single" w:sz="4" w:space="0" w:color="000000"/>
              <w:right w:val="single" w:sz="4" w:space="0" w:color="auto"/>
            </w:tcBorders>
            <w:shd w:val="clear" w:color="000000" w:fill="66FFFF"/>
            <w:noWrap/>
            <w:vAlign w:val="center"/>
            <w:hideMark/>
          </w:tcPr>
          <w:p w14:paraId="62029C22"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Sedi di fascia B</w:t>
            </w:r>
          </w:p>
        </w:tc>
        <w:tc>
          <w:tcPr>
            <w:tcW w:w="1540" w:type="dxa"/>
            <w:vMerge w:val="restart"/>
            <w:tcBorders>
              <w:top w:val="nil"/>
              <w:left w:val="single" w:sz="4" w:space="0" w:color="auto"/>
              <w:bottom w:val="single" w:sz="4" w:space="0" w:color="000000"/>
              <w:right w:val="single" w:sz="4" w:space="0" w:color="auto"/>
            </w:tcBorders>
            <w:shd w:val="clear" w:color="000000" w:fill="66FFFF"/>
            <w:noWrap/>
            <w:vAlign w:val="center"/>
            <w:hideMark/>
          </w:tcPr>
          <w:p w14:paraId="192CBEA3" w14:textId="77777777" w:rsidR="004B3A87" w:rsidRPr="004B3A87" w:rsidRDefault="004B3A87" w:rsidP="004B3A87">
            <w:pPr>
              <w:spacing w:after="0" w:line="240" w:lineRule="auto"/>
              <w:jc w:val="right"/>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1.561</w:t>
            </w:r>
          </w:p>
        </w:tc>
        <w:tc>
          <w:tcPr>
            <w:tcW w:w="1560" w:type="dxa"/>
            <w:vMerge w:val="restart"/>
            <w:tcBorders>
              <w:top w:val="nil"/>
              <w:left w:val="single" w:sz="4" w:space="0" w:color="auto"/>
              <w:bottom w:val="single" w:sz="4" w:space="0" w:color="000000"/>
              <w:right w:val="single" w:sz="4" w:space="0" w:color="auto"/>
            </w:tcBorders>
            <w:shd w:val="clear" w:color="000000" w:fill="66FFFF"/>
            <w:noWrap/>
            <w:vAlign w:val="center"/>
            <w:hideMark/>
          </w:tcPr>
          <w:p w14:paraId="649A3779" w14:textId="77777777" w:rsidR="004B3A87" w:rsidRPr="004B3A87" w:rsidRDefault="004B3A87" w:rsidP="004B3A87">
            <w:pPr>
              <w:spacing w:after="0" w:line="240" w:lineRule="auto"/>
              <w:jc w:val="right"/>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821</w:t>
            </w:r>
          </w:p>
        </w:tc>
        <w:tc>
          <w:tcPr>
            <w:tcW w:w="1540" w:type="dxa"/>
            <w:vMerge w:val="restart"/>
            <w:tcBorders>
              <w:top w:val="nil"/>
              <w:left w:val="single" w:sz="4" w:space="0" w:color="auto"/>
              <w:bottom w:val="single" w:sz="4" w:space="0" w:color="000000"/>
              <w:right w:val="single" w:sz="4" w:space="0" w:color="auto"/>
            </w:tcBorders>
            <w:shd w:val="clear" w:color="000000" w:fill="66FFFF"/>
            <w:noWrap/>
            <w:vAlign w:val="center"/>
            <w:hideMark/>
          </w:tcPr>
          <w:p w14:paraId="0B4F0902"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2.382</w:t>
            </w:r>
          </w:p>
        </w:tc>
        <w:tc>
          <w:tcPr>
            <w:tcW w:w="36" w:type="dxa"/>
            <w:vAlign w:val="center"/>
            <w:hideMark/>
          </w:tcPr>
          <w:p w14:paraId="7219425A" w14:textId="77777777" w:rsidR="004B3A87" w:rsidRPr="004B3A87" w:rsidRDefault="004B3A87" w:rsidP="004B3A87">
            <w:pPr>
              <w:spacing w:after="0" w:line="240" w:lineRule="auto"/>
              <w:rPr>
                <w:rFonts w:ascii="Times New Roman" w:eastAsia="Times New Roman" w:hAnsi="Times New Roman" w:cs="Times New Roman"/>
                <w:sz w:val="20"/>
                <w:szCs w:val="20"/>
                <w:lang w:eastAsia="it-IT"/>
              </w:rPr>
            </w:pPr>
          </w:p>
        </w:tc>
      </w:tr>
      <w:tr w:rsidR="004B3A87" w:rsidRPr="004B3A87" w14:paraId="4C0A3B98" w14:textId="77777777" w:rsidTr="004B3A87">
        <w:trPr>
          <w:trHeight w:val="600"/>
          <w:jc w:val="center"/>
        </w:trPr>
        <w:tc>
          <w:tcPr>
            <w:tcW w:w="1924" w:type="dxa"/>
            <w:vMerge/>
            <w:tcBorders>
              <w:top w:val="nil"/>
              <w:left w:val="single" w:sz="4" w:space="0" w:color="auto"/>
              <w:bottom w:val="single" w:sz="4" w:space="0" w:color="000000"/>
              <w:right w:val="single" w:sz="4" w:space="0" w:color="auto"/>
            </w:tcBorders>
            <w:vAlign w:val="center"/>
            <w:hideMark/>
          </w:tcPr>
          <w:p w14:paraId="5B1B8EDB"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p>
        </w:tc>
        <w:tc>
          <w:tcPr>
            <w:tcW w:w="1540" w:type="dxa"/>
            <w:vMerge/>
            <w:tcBorders>
              <w:top w:val="nil"/>
              <w:left w:val="single" w:sz="4" w:space="0" w:color="auto"/>
              <w:bottom w:val="single" w:sz="4" w:space="0" w:color="000000"/>
              <w:right w:val="single" w:sz="4" w:space="0" w:color="auto"/>
            </w:tcBorders>
            <w:vAlign w:val="center"/>
            <w:hideMark/>
          </w:tcPr>
          <w:p w14:paraId="4B444DE9"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p>
        </w:tc>
        <w:tc>
          <w:tcPr>
            <w:tcW w:w="1560" w:type="dxa"/>
            <w:vMerge/>
            <w:tcBorders>
              <w:top w:val="nil"/>
              <w:left w:val="single" w:sz="4" w:space="0" w:color="auto"/>
              <w:bottom w:val="single" w:sz="4" w:space="0" w:color="000000"/>
              <w:right w:val="single" w:sz="4" w:space="0" w:color="auto"/>
            </w:tcBorders>
            <w:vAlign w:val="center"/>
            <w:hideMark/>
          </w:tcPr>
          <w:p w14:paraId="166DC222"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p>
        </w:tc>
        <w:tc>
          <w:tcPr>
            <w:tcW w:w="1540" w:type="dxa"/>
            <w:vMerge/>
            <w:tcBorders>
              <w:top w:val="nil"/>
              <w:left w:val="single" w:sz="4" w:space="0" w:color="auto"/>
              <w:bottom w:val="single" w:sz="4" w:space="0" w:color="000000"/>
              <w:right w:val="single" w:sz="4" w:space="0" w:color="auto"/>
            </w:tcBorders>
            <w:vAlign w:val="center"/>
            <w:hideMark/>
          </w:tcPr>
          <w:p w14:paraId="0BBD47B4" w14:textId="77777777" w:rsidR="004B3A87" w:rsidRPr="004B3A87" w:rsidRDefault="004B3A87" w:rsidP="004B3A87">
            <w:pPr>
              <w:spacing w:after="0" w:line="240" w:lineRule="auto"/>
              <w:rPr>
                <w:rFonts w:ascii="Arial Narrow" w:eastAsia="Times New Roman" w:hAnsi="Arial Narrow" w:cs="Calibri"/>
                <w:b/>
                <w:bCs/>
                <w:color w:val="000000"/>
                <w:sz w:val="28"/>
                <w:szCs w:val="28"/>
                <w:lang w:eastAsia="it-IT"/>
              </w:rPr>
            </w:pPr>
          </w:p>
        </w:tc>
        <w:tc>
          <w:tcPr>
            <w:tcW w:w="36" w:type="dxa"/>
            <w:tcBorders>
              <w:top w:val="nil"/>
              <w:left w:val="nil"/>
              <w:bottom w:val="nil"/>
              <w:right w:val="nil"/>
            </w:tcBorders>
            <w:shd w:val="clear" w:color="auto" w:fill="auto"/>
            <w:noWrap/>
            <w:vAlign w:val="bottom"/>
            <w:hideMark/>
          </w:tcPr>
          <w:p w14:paraId="77748474"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p>
        </w:tc>
      </w:tr>
      <w:tr w:rsidR="004B3A87" w:rsidRPr="004B3A87" w14:paraId="67918582" w14:textId="77777777" w:rsidTr="004B3A87">
        <w:trPr>
          <w:trHeight w:val="60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14:paraId="3F9D0DF6" w14:textId="77777777" w:rsidR="004B3A87" w:rsidRPr="004B3A87" w:rsidRDefault="004B3A87" w:rsidP="004B3A87">
            <w:pPr>
              <w:spacing w:after="0" w:line="240" w:lineRule="auto"/>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Sedi di fascia C</w:t>
            </w:r>
          </w:p>
        </w:tc>
        <w:tc>
          <w:tcPr>
            <w:tcW w:w="1540" w:type="dxa"/>
            <w:tcBorders>
              <w:top w:val="nil"/>
              <w:left w:val="nil"/>
              <w:bottom w:val="single" w:sz="4" w:space="0" w:color="auto"/>
              <w:right w:val="single" w:sz="4" w:space="0" w:color="auto"/>
            </w:tcBorders>
            <w:shd w:val="clear" w:color="auto" w:fill="auto"/>
            <w:noWrap/>
            <w:vAlign w:val="center"/>
            <w:hideMark/>
          </w:tcPr>
          <w:p w14:paraId="072D64BF" w14:textId="77777777" w:rsidR="004B3A87" w:rsidRPr="004B3A87" w:rsidRDefault="004B3A87" w:rsidP="004B3A87">
            <w:pPr>
              <w:spacing w:after="0" w:line="240" w:lineRule="auto"/>
              <w:jc w:val="right"/>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279</w:t>
            </w:r>
          </w:p>
        </w:tc>
        <w:tc>
          <w:tcPr>
            <w:tcW w:w="1560" w:type="dxa"/>
            <w:tcBorders>
              <w:top w:val="nil"/>
              <w:left w:val="nil"/>
              <w:bottom w:val="single" w:sz="4" w:space="0" w:color="auto"/>
              <w:right w:val="single" w:sz="4" w:space="0" w:color="auto"/>
            </w:tcBorders>
            <w:shd w:val="clear" w:color="auto" w:fill="auto"/>
            <w:noWrap/>
            <w:vAlign w:val="center"/>
            <w:hideMark/>
          </w:tcPr>
          <w:p w14:paraId="737EA6B6" w14:textId="77777777" w:rsidR="004B3A87" w:rsidRPr="004B3A87" w:rsidRDefault="004B3A87" w:rsidP="004B3A87">
            <w:pPr>
              <w:spacing w:after="0" w:line="240" w:lineRule="auto"/>
              <w:jc w:val="right"/>
              <w:rPr>
                <w:rFonts w:ascii="Arial Narrow" w:eastAsia="Times New Roman" w:hAnsi="Arial Narrow" w:cs="Calibri"/>
                <w:color w:val="000000"/>
                <w:sz w:val="28"/>
                <w:szCs w:val="28"/>
                <w:lang w:eastAsia="it-IT"/>
              </w:rPr>
            </w:pPr>
            <w:r w:rsidRPr="004B3A87">
              <w:rPr>
                <w:rFonts w:ascii="Arial Narrow" w:eastAsia="Times New Roman" w:hAnsi="Arial Narrow" w:cs="Calibri"/>
                <w:color w:val="000000"/>
                <w:sz w:val="28"/>
                <w:szCs w:val="28"/>
                <w:lang w:eastAsia="it-IT"/>
              </w:rPr>
              <w:t>1.821</w:t>
            </w:r>
          </w:p>
        </w:tc>
        <w:tc>
          <w:tcPr>
            <w:tcW w:w="1540" w:type="dxa"/>
            <w:tcBorders>
              <w:top w:val="nil"/>
              <w:left w:val="nil"/>
              <w:bottom w:val="single" w:sz="4" w:space="0" w:color="auto"/>
              <w:right w:val="single" w:sz="4" w:space="0" w:color="auto"/>
            </w:tcBorders>
            <w:shd w:val="clear" w:color="auto" w:fill="auto"/>
            <w:noWrap/>
            <w:vAlign w:val="center"/>
            <w:hideMark/>
          </w:tcPr>
          <w:p w14:paraId="5CCE7E37"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2.100</w:t>
            </w:r>
          </w:p>
        </w:tc>
        <w:tc>
          <w:tcPr>
            <w:tcW w:w="36" w:type="dxa"/>
            <w:vAlign w:val="center"/>
            <w:hideMark/>
          </w:tcPr>
          <w:p w14:paraId="78CCE59C" w14:textId="77777777" w:rsidR="004B3A87" w:rsidRPr="004B3A87" w:rsidRDefault="004B3A87" w:rsidP="004B3A87">
            <w:pPr>
              <w:spacing w:after="0" w:line="240" w:lineRule="auto"/>
              <w:rPr>
                <w:rFonts w:ascii="Times New Roman" w:eastAsia="Times New Roman" w:hAnsi="Times New Roman" w:cs="Times New Roman"/>
                <w:sz w:val="20"/>
                <w:szCs w:val="20"/>
                <w:lang w:eastAsia="it-IT"/>
              </w:rPr>
            </w:pPr>
          </w:p>
        </w:tc>
      </w:tr>
      <w:tr w:rsidR="004B3A87" w:rsidRPr="004B3A87" w14:paraId="155CF373" w14:textId="77777777" w:rsidTr="004B3A87">
        <w:trPr>
          <w:trHeight w:val="600"/>
          <w:jc w:val="center"/>
        </w:trPr>
        <w:tc>
          <w:tcPr>
            <w:tcW w:w="1924" w:type="dxa"/>
            <w:tcBorders>
              <w:top w:val="nil"/>
              <w:left w:val="single" w:sz="4" w:space="0" w:color="auto"/>
              <w:bottom w:val="single" w:sz="4" w:space="0" w:color="auto"/>
              <w:right w:val="single" w:sz="4" w:space="0" w:color="auto"/>
            </w:tcBorders>
            <w:shd w:val="clear" w:color="000000" w:fill="66FFFF"/>
            <w:noWrap/>
            <w:vAlign w:val="center"/>
            <w:hideMark/>
          </w:tcPr>
          <w:p w14:paraId="54BBC589" w14:textId="77777777" w:rsidR="004B3A87" w:rsidRPr="004B3A87" w:rsidRDefault="004B3A87" w:rsidP="004B3A87">
            <w:pPr>
              <w:spacing w:after="0" w:line="240" w:lineRule="auto"/>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TOTALE</w:t>
            </w:r>
          </w:p>
        </w:tc>
        <w:tc>
          <w:tcPr>
            <w:tcW w:w="1540" w:type="dxa"/>
            <w:tcBorders>
              <w:top w:val="nil"/>
              <w:left w:val="nil"/>
              <w:bottom w:val="single" w:sz="4" w:space="0" w:color="auto"/>
              <w:right w:val="single" w:sz="4" w:space="0" w:color="auto"/>
            </w:tcBorders>
            <w:shd w:val="clear" w:color="000000" w:fill="66FFFF"/>
            <w:noWrap/>
            <w:vAlign w:val="center"/>
            <w:hideMark/>
          </w:tcPr>
          <w:p w14:paraId="4295F588"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2.347</w:t>
            </w:r>
          </w:p>
        </w:tc>
        <w:tc>
          <w:tcPr>
            <w:tcW w:w="1560" w:type="dxa"/>
            <w:tcBorders>
              <w:top w:val="nil"/>
              <w:left w:val="nil"/>
              <w:bottom w:val="single" w:sz="4" w:space="0" w:color="auto"/>
              <w:right w:val="single" w:sz="4" w:space="0" w:color="auto"/>
            </w:tcBorders>
            <w:shd w:val="clear" w:color="000000" w:fill="66FFFF"/>
            <w:noWrap/>
            <w:vAlign w:val="center"/>
            <w:hideMark/>
          </w:tcPr>
          <w:p w14:paraId="0DF9374E"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2.670</w:t>
            </w:r>
          </w:p>
        </w:tc>
        <w:tc>
          <w:tcPr>
            <w:tcW w:w="1540" w:type="dxa"/>
            <w:tcBorders>
              <w:top w:val="nil"/>
              <w:left w:val="nil"/>
              <w:bottom w:val="single" w:sz="4" w:space="0" w:color="auto"/>
              <w:right w:val="single" w:sz="4" w:space="0" w:color="auto"/>
            </w:tcBorders>
            <w:shd w:val="clear" w:color="000000" w:fill="66FFFF"/>
            <w:noWrap/>
            <w:vAlign w:val="center"/>
            <w:hideMark/>
          </w:tcPr>
          <w:p w14:paraId="2CCB5718" w14:textId="77777777" w:rsidR="004B3A87" w:rsidRPr="004B3A87" w:rsidRDefault="004B3A87" w:rsidP="004B3A87">
            <w:pPr>
              <w:spacing w:after="0" w:line="240" w:lineRule="auto"/>
              <w:jc w:val="right"/>
              <w:rPr>
                <w:rFonts w:ascii="Arial Narrow" w:eastAsia="Times New Roman" w:hAnsi="Arial Narrow" w:cs="Calibri"/>
                <w:b/>
                <w:bCs/>
                <w:color w:val="000000"/>
                <w:sz w:val="28"/>
                <w:szCs w:val="28"/>
                <w:lang w:eastAsia="it-IT"/>
              </w:rPr>
            </w:pPr>
            <w:r w:rsidRPr="004B3A87">
              <w:rPr>
                <w:rFonts w:ascii="Arial Narrow" w:eastAsia="Times New Roman" w:hAnsi="Arial Narrow" w:cs="Calibri"/>
                <w:b/>
                <w:bCs/>
                <w:color w:val="000000"/>
                <w:sz w:val="28"/>
                <w:szCs w:val="28"/>
                <w:lang w:eastAsia="it-IT"/>
              </w:rPr>
              <w:t>5.017</w:t>
            </w:r>
          </w:p>
        </w:tc>
        <w:tc>
          <w:tcPr>
            <w:tcW w:w="36" w:type="dxa"/>
            <w:vAlign w:val="center"/>
            <w:hideMark/>
          </w:tcPr>
          <w:p w14:paraId="0FD9108F" w14:textId="77777777" w:rsidR="004B3A87" w:rsidRPr="004B3A87" w:rsidRDefault="004B3A87" w:rsidP="004B3A87">
            <w:pPr>
              <w:spacing w:after="0" w:line="240" w:lineRule="auto"/>
              <w:rPr>
                <w:rFonts w:ascii="Times New Roman" w:eastAsia="Times New Roman" w:hAnsi="Times New Roman" w:cs="Times New Roman"/>
                <w:sz w:val="20"/>
                <w:szCs w:val="20"/>
                <w:lang w:eastAsia="it-IT"/>
              </w:rPr>
            </w:pPr>
          </w:p>
        </w:tc>
      </w:tr>
    </w:tbl>
    <w:p w14:paraId="0ADFCCFD" w14:textId="77777777" w:rsidR="004B3A87" w:rsidRDefault="004B3A87" w:rsidP="0035692F">
      <w:pPr>
        <w:spacing w:line="360" w:lineRule="auto"/>
        <w:jc w:val="both"/>
        <w:rPr>
          <w:rFonts w:ascii="Times New Roman" w:hAnsi="Times New Roman" w:cs="Times New Roman"/>
          <w:sz w:val="28"/>
          <w:szCs w:val="28"/>
        </w:rPr>
      </w:pPr>
    </w:p>
    <w:p w14:paraId="5306E2F6" w14:textId="7D02E7D7" w:rsidR="00E26999" w:rsidRDefault="004B3A87" w:rsidP="00C85ED7">
      <w:pPr>
        <w:spacing w:line="360" w:lineRule="auto"/>
        <w:jc w:val="both"/>
        <w:rPr>
          <w:rFonts w:ascii="Times New Roman" w:hAnsi="Times New Roman" w:cs="Times New Roman"/>
          <w:sz w:val="28"/>
          <w:szCs w:val="28"/>
        </w:rPr>
      </w:pPr>
      <w:r>
        <w:rPr>
          <w:rFonts w:ascii="Times New Roman" w:hAnsi="Times New Roman" w:cs="Times New Roman"/>
          <w:sz w:val="28"/>
          <w:szCs w:val="28"/>
        </w:rPr>
        <w:t>Le sedi</w:t>
      </w:r>
      <w:r w:rsidR="00E26999">
        <w:rPr>
          <w:rFonts w:ascii="Times New Roman" w:hAnsi="Times New Roman" w:cs="Times New Roman"/>
          <w:sz w:val="28"/>
          <w:szCs w:val="28"/>
        </w:rPr>
        <w:t xml:space="preserve"> di segreteria</w:t>
      </w:r>
      <w:r>
        <w:rPr>
          <w:rFonts w:ascii="Times New Roman" w:hAnsi="Times New Roman" w:cs="Times New Roman"/>
          <w:sz w:val="28"/>
          <w:szCs w:val="28"/>
        </w:rPr>
        <w:t xml:space="preserve"> </w:t>
      </w:r>
      <w:r w:rsidR="00E26999">
        <w:rPr>
          <w:rFonts w:ascii="Times New Roman" w:hAnsi="Times New Roman" w:cs="Times New Roman"/>
          <w:sz w:val="28"/>
          <w:szCs w:val="28"/>
        </w:rPr>
        <w:t>che beneficeranno del sistema derogatorio introdotto sono</w:t>
      </w:r>
      <w:r w:rsidR="0017534F">
        <w:rPr>
          <w:rFonts w:ascii="Times New Roman" w:hAnsi="Times New Roman" w:cs="Times New Roman"/>
          <w:sz w:val="28"/>
          <w:szCs w:val="28"/>
        </w:rPr>
        <w:t xml:space="preserve"> pertanto</w:t>
      </w:r>
      <w:r w:rsidR="00E26999">
        <w:rPr>
          <w:rFonts w:ascii="Times New Roman" w:hAnsi="Times New Roman" w:cs="Times New Roman"/>
          <w:sz w:val="28"/>
          <w:szCs w:val="28"/>
        </w:rPr>
        <w:t>:</w:t>
      </w:r>
    </w:p>
    <w:p w14:paraId="1BC9171A" w14:textId="2CE5F851" w:rsidR="0017534F" w:rsidRPr="0017534F" w:rsidRDefault="0017534F" w:rsidP="0017534F">
      <w:pPr>
        <w:pStyle w:val="Paragrafoelenco"/>
        <w:numPr>
          <w:ilvl w:val="0"/>
          <w:numId w:val="14"/>
        </w:numPr>
        <w:spacing w:line="360" w:lineRule="auto"/>
        <w:jc w:val="both"/>
        <w:rPr>
          <w:rFonts w:ascii="Times New Roman" w:hAnsi="Times New Roman" w:cs="Times New Roman"/>
          <w:sz w:val="28"/>
          <w:szCs w:val="28"/>
        </w:rPr>
      </w:pPr>
      <w:r w:rsidRPr="0017534F">
        <w:rPr>
          <w:rFonts w:ascii="Times New Roman" w:hAnsi="Times New Roman" w:cs="Times New Roman"/>
          <w:b/>
          <w:bCs/>
          <w:sz w:val="28"/>
          <w:szCs w:val="28"/>
        </w:rPr>
        <w:lastRenderedPageBreak/>
        <w:t>28</w:t>
      </w:r>
      <w:r w:rsidR="00E26999" w:rsidRPr="0017534F">
        <w:rPr>
          <w:rFonts w:ascii="Times New Roman" w:hAnsi="Times New Roman" w:cs="Times New Roman"/>
          <w:sz w:val="28"/>
          <w:szCs w:val="28"/>
        </w:rPr>
        <w:t xml:space="preserve"> </w:t>
      </w:r>
      <w:r w:rsidR="004B3A87" w:rsidRPr="0017534F">
        <w:rPr>
          <w:rFonts w:ascii="Times New Roman" w:hAnsi="Times New Roman" w:cs="Times New Roman"/>
          <w:sz w:val="28"/>
          <w:szCs w:val="28"/>
        </w:rPr>
        <w:t>di fascia A</w:t>
      </w:r>
      <w:r w:rsidR="00E80399" w:rsidRPr="0017534F">
        <w:rPr>
          <w:rFonts w:ascii="Times New Roman" w:hAnsi="Times New Roman" w:cs="Times New Roman"/>
          <w:sz w:val="28"/>
          <w:szCs w:val="28"/>
        </w:rPr>
        <w:t xml:space="preserve"> </w:t>
      </w:r>
      <w:r w:rsidR="00C85ED7" w:rsidRPr="0017534F">
        <w:rPr>
          <w:rFonts w:ascii="Times New Roman" w:hAnsi="Times New Roman" w:cs="Times New Roman"/>
          <w:sz w:val="28"/>
          <w:szCs w:val="28"/>
        </w:rPr>
        <w:t>(</w:t>
      </w:r>
      <w:r w:rsidR="004F4259">
        <w:rPr>
          <w:rFonts w:ascii="Times New Roman" w:hAnsi="Times New Roman" w:cs="Times New Roman"/>
          <w:sz w:val="28"/>
          <w:szCs w:val="28"/>
        </w:rPr>
        <w:t>sedi di segreteria</w:t>
      </w:r>
      <w:r w:rsidR="00C85ED7" w:rsidRPr="0017534F">
        <w:rPr>
          <w:rFonts w:ascii="Times New Roman" w:hAnsi="Times New Roman" w:cs="Times New Roman"/>
          <w:sz w:val="28"/>
          <w:szCs w:val="28"/>
        </w:rPr>
        <w:t xml:space="preserve"> con popolazione superiore a 65.001, capoluoghi di provincia, province e città metropolitane) </w:t>
      </w:r>
    </w:p>
    <w:p w14:paraId="199C9BD4" w14:textId="51953A4D" w:rsidR="004B3A87" w:rsidRPr="0017534F" w:rsidRDefault="0017534F" w:rsidP="0017534F">
      <w:pPr>
        <w:pStyle w:val="Paragrafoelenco"/>
        <w:numPr>
          <w:ilvl w:val="0"/>
          <w:numId w:val="14"/>
        </w:numPr>
        <w:spacing w:line="360" w:lineRule="auto"/>
        <w:jc w:val="both"/>
        <w:rPr>
          <w:rFonts w:ascii="Times New Roman" w:hAnsi="Times New Roman" w:cs="Times New Roman"/>
          <w:sz w:val="28"/>
          <w:szCs w:val="28"/>
        </w:rPr>
      </w:pPr>
      <w:r w:rsidRPr="0017534F">
        <w:rPr>
          <w:rFonts w:ascii="Times New Roman" w:hAnsi="Times New Roman" w:cs="Times New Roman"/>
          <w:b/>
          <w:bCs/>
          <w:sz w:val="28"/>
          <w:szCs w:val="28"/>
        </w:rPr>
        <w:t xml:space="preserve">821 </w:t>
      </w:r>
      <w:r w:rsidR="004A7C33" w:rsidRPr="0017534F">
        <w:rPr>
          <w:rFonts w:ascii="Times New Roman" w:hAnsi="Times New Roman" w:cs="Times New Roman"/>
          <w:sz w:val="28"/>
          <w:szCs w:val="28"/>
        </w:rPr>
        <w:t>sedi di fascia B</w:t>
      </w:r>
      <w:r w:rsidR="00A35173" w:rsidRPr="0017534F">
        <w:rPr>
          <w:rFonts w:ascii="Times New Roman" w:hAnsi="Times New Roman" w:cs="Times New Roman"/>
          <w:sz w:val="28"/>
          <w:szCs w:val="28"/>
        </w:rPr>
        <w:t xml:space="preserve"> (</w:t>
      </w:r>
      <w:r w:rsidR="004F4259" w:rsidRPr="004F4259">
        <w:rPr>
          <w:rFonts w:ascii="Times New Roman" w:hAnsi="Times New Roman" w:cs="Times New Roman"/>
          <w:sz w:val="28"/>
          <w:szCs w:val="28"/>
        </w:rPr>
        <w:t>sedi di segreteria</w:t>
      </w:r>
      <w:r w:rsidR="00A35173" w:rsidRPr="0017534F">
        <w:rPr>
          <w:rFonts w:ascii="Times New Roman" w:hAnsi="Times New Roman" w:cs="Times New Roman"/>
          <w:sz w:val="28"/>
          <w:szCs w:val="28"/>
        </w:rPr>
        <w:t xml:space="preserve"> con popolazione superiore a 3.001 </w:t>
      </w:r>
      <w:r w:rsidR="00E26999" w:rsidRPr="0017534F">
        <w:rPr>
          <w:rFonts w:ascii="Times New Roman" w:hAnsi="Times New Roman" w:cs="Times New Roman"/>
          <w:sz w:val="28"/>
          <w:szCs w:val="28"/>
        </w:rPr>
        <w:t>e fino a 65.000)</w:t>
      </w:r>
      <w:r w:rsidRPr="0017534F">
        <w:rPr>
          <w:rFonts w:ascii="Times New Roman" w:hAnsi="Times New Roman" w:cs="Times New Roman"/>
          <w:sz w:val="28"/>
          <w:szCs w:val="28"/>
        </w:rPr>
        <w:t xml:space="preserve">; </w:t>
      </w:r>
      <w:r w:rsidR="00E26999" w:rsidRPr="0017534F">
        <w:rPr>
          <w:rFonts w:ascii="Times New Roman" w:hAnsi="Times New Roman" w:cs="Times New Roman"/>
          <w:sz w:val="28"/>
          <w:szCs w:val="28"/>
        </w:rPr>
        <w:t xml:space="preserve"> </w:t>
      </w:r>
    </w:p>
    <w:p w14:paraId="59FCDAD2" w14:textId="01CED579" w:rsidR="0017534F" w:rsidRPr="004F4259" w:rsidRDefault="0017534F" w:rsidP="0017534F">
      <w:pPr>
        <w:pStyle w:val="Paragrafoelenco"/>
        <w:numPr>
          <w:ilvl w:val="0"/>
          <w:numId w:val="14"/>
        </w:numPr>
        <w:spacing w:line="360" w:lineRule="auto"/>
        <w:jc w:val="both"/>
        <w:rPr>
          <w:rFonts w:ascii="Times New Roman" w:hAnsi="Times New Roman" w:cs="Times New Roman"/>
          <w:sz w:val="28"/>
          <w:szCs w:val="28"/>
        </w:rPr>
      </w:pPr>
      <w:r w:rsidRPr="0017534F">
        <w:rPr>
          <w:rFonts w:ascii="Times New Roman" w:hAnsi="Times New Roman" w:cs="Times New Roman"/>
          <w:b/>
          <w:bCs/>
          <w:sz w:val="28"/>
          <w:szCs w:val="28"/>
        </w:rPr>
        <w:t>1.821</w:t>
      </w:r>
      <w:r>
        <w:rPr>
          <w:rFonts w:ascii="Times New Roman" w:hAnsi="Times New Roman" w:cs="Times New Roman"/>
          <w:b/>
          <w:bCs/>
          <w:sz w:val="28"/>
          <w:szCs w:val="28"/>
        </w:rPr>
        <w:t xml:space="preserve"> </w:t>
      </w:r>
      <w:r w:rsidR="004F4259" w:rsidRPr="004F4259">
        <w:rPr>
          <w:rFonts w:ascii="Times New Roman" w:hAnsi="Times New Roman" w:cs="Times New Roman"/>
          <w:sz w:val="28"/>
          <w:szCs w:val="28"/>
        </w:rPr>
        <w:t>sedi di fascia C (sedi di segreteria fino a 3.000 abitanti)</w:t>
      </w:r>
      <w:r w:rsidR="004F4259">
        <w:rPr>
          <w:rFonts w:ascii="Times New Roman" w:hAnsi="Times New Roman" w:cs="Times New Roman"/>
          <w:sz w:val="28"/>
          <w:szCs w:val="28"/>
        </w:rPr>
        <w:t>.</w:t>
      </w:r>
    </w:p>
    <w:p w14:paraId="3469AFE9" w14:textId="19475759" w:rsidR="005C1250" w:rsidRDefault="005C1250" w:rsidP="003569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norma, quindi, appare poco coerente con l’obiettivo che è individuato nella relazione </w:t>
      </w:r>
      <w:r w:rsidR="0068307A">
        <w:rPr>
          <w:rFonts w:ascii="Times New Roman" w:hAnsi="Times New Roman" w:cs="Times New Roman"/>
          <w:sz w:val="28"/>
          <w:szCs w:val="28"/>
        </w:rPr>
        <w:t xml:space="preserve">illustrativa </w:t>
      </w:r>
      <w:r w:rsidR="007178D2">
        <w:rPr>
          <w:rFonts w:ascii="Times New Roman" w:hAnsi="Times New Roman" w:cs="Times New Roman"/>
          <w:sz w:val="28"/>
          <w:szCs w:val="28"/>
        </w:rPr>
        <w:t>nell’</w:t>
      </w:r>
      <w:r w:rsidR="007178D2" w:rsidRPr="007178D2">
        <w:rPr>
          <w:rFonts w:ascii="Times New Roman" w:hAnsi="Times New Roman" w:cs="Times New Roman"/>
          <w:sz w:val="28"/>
          <w:szCs w:val="28"/>
        </w:rPr>
        <w:t xml:space="preserve">offrire </w:t>
      </w:r>
      <w:r w:rsidR="007178D2">
        <w:rPr>
          <w:rFonts w:ascii="Times New Roman" w:hAnsi="Times New Roman" w:cs="Times New Roman"/>
          <w:sz w:val="28"/>
          <w:szCs w:val="28"/>
        </w:rPr>
        <w:t>“</w:t>
      </w:r>
      <w:r w:rsidR="007178D2" w:rsidRPr="00DD2BDD">
        <w:rPr>
          <w:rFonts w:ascii="Times New Roman" w:hAnsi="Times New Roman" w:cs="Times New Roman"/>
          <w:i/>
          <w:iCs/>
          <w:sz w:val="28"/>
          <w:szCs w:val="28"/>
        </w:rPr>
        <w:t>una più stabile soluzione al problema della spesa del trattamento economico del segretario nei piccoli comuni</w:t>
      </w:r>
      <w:r w:rsidR="007178D2">
        <w:rPr>
          <w:rFonts w:ascii="Times New Roman" w:hAnsi="Times New Roman" w:cs="Times New Roman"/>
          <w:sz w:val="28"/>
          <w:szCs w:val="28"/>
        </w:rPr>
        <w:t>”.</w:t>
      </w:r>
    </w:p>
    <w:p w14:paraId="0D2BC4EB" w14:textId="673513C3" w:rsidR="007178D2" w:rsidRDefault="00C42BE1" w:rsidP="0035692F">
      <w:pPr>
        <w:spacing w:line="360" w:lineRule="auto"/>
        <w:jc w:val="both"/>
        <w:rPr>
          <w:rFonts w:ascii="Times New Roman" w:hAnsi="Times New Roman" w:cs="Times New Roman"/>
          <w:sz w:val="28"/>
          <w:szCs w:val="28"/>
        </w:rPr>
      </w:pPr>
      <w:r>
        <w:rPr>
          <w:rFonts w:ascii="Times New Roman" w:hAnsi="Times New Roman" w:cs="Times New Roman"/>
          <w:sz w:val="28"/>
          <w:szCs w:val="28"/>
        </w:rPr>
        <w:t>La</w:t>
      </w:r>
      <w:r w:rsidR="007178D2">
        <w:rPr>
          <w:rFonts w:ascii="Times New Roman" w:hAnsi="Times New Roman" w:cs="Times New Roman"/>
          <w:sz w:val="28"/>
          <w:szCs w:val="28"/>
        </w:rPr>
        <w:t xml:space="preserve"> limitazione </w:t>
      </w:r>
      <w:r>
        <w:rPr>
          <w:rFonts w:ascii="Times New Roman" w:hAnsi="Times New Roman" w:cs="Times New Roman"/>
          <w:sz w:val="28"/>
          <w:szCs w:val="28"/>
        </w:rPr>
        <w:t xml:space="preserve">dell’estensione della norma sulla sterilizzazione della spesa del </w:t>
      </w:r>
      <w:r w:rsidR="009019C8">
        <w:rPr>
          <w:rFonts w:ascii="Times New Roman" w:hAnsi="Times New Roman" w:cs="Times New Roman"/>
          <w:sz w:val="28"/>
          <w:szCs w:val="28"/>
        </w:rPr>
        <w:t xml:space="preserve">segretario </w:t>
      </w:r>
      <w:r w:rsidR="007178D2">
        <w:rPr>
          <w:rFonts w:ascii="Times New Roman" w:hAnsi="Times New Roman" w:cs="Times New Roman"/>
          <w:sz w:val="28"/>
          <w:szCs w:val="28"/>
        </w:rPr>
        <w:t xml:space="preserve">non è richiesta neppure da esigenze di </w:t>
      </w:r>
      <w:r w:rsidR="0068307A">
        <w:rPr>
          <w:rFonts w:ascii="Times New Roman" w:hAnsi="Times New Roman" w:cs="Times New Roman"/>
          <w:sz w:val="28"/>
          <w:szCs w:val="28"/>
        </w:rPr>
        <w:t>conten</w:t>
      </w:r>
      <w:r w:rsidR="009019C8">
        <w:rPr>
          <w:rFonts w:ascii="Times New Roman" w:hAnsi="Times New Roman" w:cs="Times New Roman"/>
          <w:sz w:val="28"/>
          <w:szCs w:val="28"/>
        </w:rPr>
        <w:t>imento del</w:t>
      </w:r>
      <w:r w:rsidR="0068307A">
        <w:rPr>
          <w:rFonts w:ascii="Times New Roman" w:hAnsi="Times New Roman" w:cs="Times New Roman"/>
          <w:sz w:val="28"/>
          <w:szCs w:val="28"/>
        </w:rPr>
        <w:t>l’impatto economico dell’intervento, posto che nella relazione tecnica</w:t>
      </w:r>
      <w:r w:rsidR="00F33CCB">
        <w:rPr>
          <w:rFonts w:ascii="Times New Roman" w:hAnsi="Times New Roman" w:cs="Times New Roman"/>
          <w:sz w:val="28"/>
          <w:szCs w:val="28"/>
        </w:rPr>
        <w:t>, si precisa che “</w:t>
      </w:r>
      <w:r w:rsidR="00F33CCB" w:rsidRPr="00F33CCB">
        <w:rPr>
          <w:rFonts w:ascii="Times New Roman" w:hAnsi="Times New Roman" w:cs="Times New Roman"/>
          <w:i/>
          <w:iCs/>
          <w:sz w:val="28"/>
          <w:szCs w:val="28"/>
        </w:rPr>
        <w:t>La norma non comporta nuovi o maggiori oneri a carico della finanza pubblica in quanto le suddette deroghe operano nel rispetto della sostenibilità finanziaria di cui all’articolo 33 del decreto-legge n. 34/2019</w:t>
      </w:r>
      <w:r w:rsidR="00F33CCB">
        <w:rPr>
          <w:rFonts w:ascii="Times New Roman" w:hAnsi="Times New Roman" w:cs="Times New Roman"/>
          <w:sz w:val="28"/>
          <w:szCs w:val="28"/>
        </w:rPr>
        <w:t>”</w:t>
      </w:r>
      <w:r w:rsidR="00A0453E">
        <w:rPr>
          <w:rStyle w:val="Rimandonotaapidipagina"/>
          <w:rFonts w:ascii="Times New Roman" w:hAnsi="Times New Roman" w:cs="Times New Roman"/>
          <w:sz w:val="28"/>
          <w:szCs w:val="28"/>
        </w:rPr>
        <w:footnoteReference w:id="6"/>
      </w:r>
      <w:r w:rsidR="00F33CCB" w:rsidRPr="00F33CCB">
        <w:rPr>
          <w:rFonts w:ascii="Times New Roman" w:hAnsi="Times New Roman" w:cs="Times New Roman"/>
          <w:sz w:val="28"/>
          <w:szCs w:val="28"/>
        </w:rPr>
        <w:t>.</w:t>
      </w:r>
      <w:r w:rsidR="00A36428">
        <w:rPr>
          <w:rFonts w:ascii="Times New Roman" w:hAnsi="Times New Roman" w:cs="Times New Roman"/>
          <w:sz w:val="28"/>
          <w:szCs w:val="28"/>
        </w:rPr>
        <w:t xml:space="preserve"> </w:t>
      </w:r>
    </w:p>
    <w:p w14:paraId="4D909D44" w14:textId="76E62EFA" w:rsidR="00A0453E" w:rsidRDefault="00A0453E" w:rsidP="0035692F">
      <w:pPr>
        <w:spacing w:line="360" w:lineRule="auto"/>
        <w:jc w:val="both"/>
        <w:rPr>
          <w:rFonts w:ascii="Times New Roman" w:hAnsi="Times New Roman" w:cs="Times New Roman"/>
          <w:sz w:val="28"/>
          <w:szCs w:val="28"/>
        </w:rPr>
      </w:pPr>
      <w:r>
        <w:rPr>
          <w:rFonts w:ascii="Times New Roman" w:hAnsi="Times New Roman" w:cs="Times New Roman"/>
          <w:sz w:val="28"/>
          <w:szCs w:val="28"/>
        </w:rPr>
        <w:t>Sulla base delle considerazioni</w:t>
      </w:r>
      <w:r w:rsidR="00C17AA1">
        <w:rPr>
          <w:rFonts w:ascii="Times New Roman" w:hAnsi="Times New Roman" w:cs="Times New Roman"/>
          <w:sz w:val="28"/>
          <w:szCs w:val="28"/>
        </w:rPr>
        <w:t xml:space="preserve"> che precedono, pur ritenendo la norma un primo importante passo nella direzione da tempo auspicata,</w:t>
      </w:r>
      <w:r w:rsidR="00860A3F">
        <w:rPr>
          <w:rFonts w:ascii="Times New Roman" w:hAnsi="Times New Roman" w:cs="Times New Roman"/>
          <w:sz w:val="28"/>
          <w:szCs w:val="28"/>
        </w:rPr>
        <w:t xml:space="preserve"> si ritiene necessario apportare in sede di conversione una modifica </w:t>
      </w:r>
      <w:r w:rsidR="007406DE">
        <w:rPr>
          <w:rFonts w:ascii="Times New Roman" w:hAnsi="Times New Roman" w:cs="Times New Roman"/>
          <w:sz w:val="28"/>
          <w:szCs w:val="28"/>
        </w:rPr>
        <w:t>volta ad estendere la disciplina a tutt</w:t>
      </w:r>
      <w:r w:rsidR="00F1465D">
        <w:rPr>
          <w:rFonts w:ascii="Times New Roman" w:hAnsi="Times New Roman" w:cs="Times New Roman"/>
          <w:sz w:val="28"/>
          <w:szCs w:val="28"/>
        </w:rPr>
        <w:t>e le sedi di segreteria</w:t>
      </w:r>
      <w:r w:rsidR="007406DE">
        <w:rPr>
          <w:rFonts w:ascii="Times New Roman" w:hAnsi="Times New Roman" w:cs="Times New Roman"/>
          <w:sz w:val="28"/>
          <w:szCs w:val="28"/>
        </w:rPr>
        <w:t xml:space="preserve">, eliminando </w:t>
      </w:r>
      <w:r w:rsidR="001C2C51">
        <w:rPr>
          <w:rFonts w:ascii="Times New Roman" w:hAnsi="Times New Roman" w:cs="Times New Roman"/>
          <w:sz w:val="28"/>
          <w:szCs w:val="28"/>
        </w:rPr>
        <w:t>la limitazione</w:t>
      </w:r>
      <w:r w:rsidR="007406DE">
        <w:rPr>
          <w:rFonts w:ascii="Times New Roman" w:hAnsi="Times New Roman" w:cs="Times New Roman"/>
          <w:sz w:val="28"/>
          <w:szCs w:val="28"/>
        </w:rPr>
        <w:t xml:space="preserve"> del tutto casuale </w:t>
      </w:r>
      <w:r w:rsidR="001C2C51">
        <w:rPr>
          <w:rFonts w:ascii="Times New Roman" w:hAnsi="Times New Roman" w:cs="Times New Roman"/>
          <w:sz w:val="28"/>
          <w:szCs w:val="28"/>
        </w:rPr>
        <w:t xml:space="preserve">in base alla quale la norma </w:t>
      </w:r>
      <w:r w:rsidR="00343A30">
        <w:rPr>
          <w:rFonts w:ascii="Times New Roman" w:hAnsi="Times New Roman" w:cs="Times New Roman"/>
          <w:sz w:val="28"/>
          <w:szCs w:val="28"/>
        </w:rPr>
        <w:t>si applica esclusivamente alle sedi di segreteria prive di titolare</w:t>
      </w:r>
      <w:r w:rsidR="00F1465D">
        <w:rPr>
          <w:rFonts w:ascii="Times New Roman" w:hAnsi="Times New Roman" w:cs="Times New Roman"/>
          <w:sz w:val="28"/>
          <w:szCs w:val="28"/>
        </w:rPr>
        <w:t xml:space="preserve"> alla data del 22 aprile 2023</w:t>
      </w:r>
      <w:r w:rsidR="00471958">
        <w:rPr>
          <w:rFonts w:ascii="Times New Roman" w:hAnsi="Times New Roman" w:cs="Times New Roman"/>
          <w:sz w:val="28"/>
          <w:szCs w:val="28"/>
        </w:rPr>
        <w:t xml:space="preserve">. </w:t>
      </w:r>
    </w:p>
    <w:p w14:paraId="0D7FFCEB" w14:textId="77777777" w:rsidR="005C1250" w:rsidRDefault="005C1250" w:rsidP="0035692F">
      <w:pPr>
        <w:spacing w:line="360" w:lineRule="auto"/>
        <w:jc w:val="both"/>
        <w:rPr>
          <w:rFonts w:ascii="Times New Roman" w:hAnsi="Times New Roman" w:cs="Times New Roman"/>
          <w:sz w:val="28"/>
          <w:szCs w:val="28"/>
        </w:rPr>
      </w:pPr>
    </w:p>
    <w:p w14:paraId="3A29E5A0" w14:textId="0413D380" w:rsidR="00BF19CA" w:rsidRPr="00BF19CA" w:rsidRDefault="00BF19CA" w:rsidP="00FC753E">
      <w:pPr>
        <w:spacing w:line="360" w:lineRule="auto"/>
        <w:jc w:val="both"/>
        <w:rPr>
          <w:rFonts w:ascii="Times New Roman" w:hAnsi="Times New Roman" w:cs="Times New Roman"/>
          <w:sz w:val="28"/>
          <w:szCs w:val="28"/>
        </w:rPr>
      </w:pPr>
    </w:p>
    <w:p w14:paraId="545B82CE" w14:textId="55B5F6CC" w:rsidR="006B660F" w:rsidRDefault="006B660F">
      <w:pPr>
        <w:rPr>
          <w:rFonts w:ascii="Times New Roman" w:hAnsi="Times New Roman" w:cs="Times New Roman"/>
          <w:sz w:val="28"/>
          <w:szCs w:val="28"/>
        </w:rPr>
      </w:pPr>
      <w:r>
        <w:rPr>
          <w:rFonts w:ascii="Times New Roman" w:hAnsi="Times New Roman" w:cs="Times New Roman"/>
          <w:sz w:val="28"/>
          <w:szCs w:val="28"/>
        </w:rPr>
        <w:br w:type="page"/>
      </w:r>
    </w:p>
    <w:p w14:paraId="7D81AFCC" w14:textId="7490DBDF" w:rsidR="0099773E" w:rsidRPr="0055655A" w:rsidRDefault="0099773E" w:rsidP="0055655A">
      <w:pPr>
        <w:spacing w:line="360" w:lineRule="auto"/>
        <w:jc w:val="center"/>
        <w:rPr>
          <w:rFonts w:ascii="Times New Roman" w:hAnsi="Times New Roman" w:cs="Times New Roman"/>
          <w:i/>
          <w:iCs/>
          <w:sz w:val="28"/>
          <w:szCs w:val="28"/>
          <w:u w:val="single"/>
        </w:rPr>
      </w:pPr>
      <w:r w:rsidRPr="0055655A">
        <w:rPr>
          <w:rFonts w:ascii="Times New Roman" w:hAnsi="Times New Roman" w:cs="Times New Roman"/>
          <w:i/>
          <w:iCs/>
          <w:sz w:val="28"/>
          <w:szCs w:val="28"/>
          <w:u w:val="single"/>
        </w:rPr>
        <w:lastRenderedPageBreak/>
        <w:t>Emendamento</w:t>
      </w:r>
    </w:p>
    <w:p w14:paraId="1EB5F7CD" w14:textId="4AB2BC69" w:rsidR="005C3ACF" w:rsidRPr="005C3ACF" w:rsidRDefault="005C3ACF" w:rsidP="005C3ACF">
      <w:pPr>
        <w:spacing w:line="360" w:lineRule="auto"/>
        <w:jc w:val="both"/>
        <w:rPr>
          <w:rFonts w:ascii="Times New Roman" w:hAnsi="Times New Roman" w:cs="Times New Roman"/>
          <w:sz w:val="28"/>
          <w:szCs w:val="28"/>
        </w:rPr>
      </w:pPr>
      <w:r w:rsidRPr="005C3ACF">
        <w:rPr>
          <w:rFonts w:ascii="Times New Roman" w:hAnsi="Times New Roman" w:cs="Times New Roman"/>
          <w:sz w:val="28"/>
          <w:szCs w:val="28"/>
        </w:rPr>
        <w:t xml:space="preserve">1. All’articolo 3, comma 6, le parole “per i comuni sprovvisti di segretario comunale alla data di entrata in vigore del presente decreto” sono </w:t>
      </w:r>
      <w:r w:rsidR="00F3741D">
        <w:rPr>
          <w:rFonts w:ascii="Times New Roman" w:hAnsi="Times New Roman" w:cs="Times New Roman"/>
          <w:sz w:val="28"/>
          <w:szCs w:val="28"/>
        </w:rPr>
        <w:t>soppress</w:t>
      </w:r>
      <w:r w:rsidRPr="005C3ACF">
        <w:rPr>
          <w:rFonts w:ascii="Times New Roman" w:hAnsi="Times New Roman" w:cs="Times New Roman"/>
          <w:sz w:val="28"/>
          <w:szCs w:val="28"/>
        </w:rPr>
        <w:t>e.</w:t>
      </w:r>
    </w:p>
    <w:p w14:paraId="2A019F38" w14:textId="31780C32" w:rsidR="005C3ACF" w:rsidRPr="005C3ACF" w:rsidRDefault="005C3ACF" w:rsidP="005C3ACF">
      <w:pPr>
        <w:spacing w:line="360" w:lineRule="auto"/>
        <w:jc w:val="center"/>
        <w:rPr>
          <w:rFonts w:ascii="Times New Roman" w:hAnsi="Times New Roman" w:cs="Times New Roman"/>
          <w:sz w:val="28"/>
          <w:szCs w:val="28"/>
        </w:rPr>
      </w:pPr>
      <w:r w:rsidRPr="005C3ACF">
        <w:rPr>
          <w:rFonts w:ascii="Times New Roman" w:hAnsi="Times New Roman" w:cs="Times New Roman"/>
          <w:b/>
          <w:bCs/>
          <w:sz w:val="28"/>
          <w:szCs w:val="28"/>
        </w:rPr>
        <w:t xml:space="preserve"> </w:t>
      </w:r>
      <w:r w:rsidRPr="0055655A">
        <w:rPr>
          <w:rFonts w:ascii="Times New Roman" w:hAnsi="Times New Roman" w:cs="Times New Roman"/>
          <w:b/>
          <w:bCs/>
          <w:sz w:val="28"/>
          <w:szCs w:val="28"/>
        </w:rPr>
        <w:t>Relazione illustrativa</w:t>
      </w:r>
    </w:p>
    <w:p w14:paraId="6339EE7B" w14:textId="5A490241" w:rsidR="0059305E" w:rsidRPr="0059305E" w:rsidRDefault="004A3062" w:rsidP="0059305E">
      <w:pPr>
        <w:spacing w:line="360" w:lineRule="auto"/>
        <w:jc w:val="both"/>
        <w:rPr>
          <w:rFonts w:ascii="Times New Roman" w:hAnsi="Times New Roman" w:cs="Times New Roman"/>
          <w:sz w:val="28"/>
          <w:szCs w:val="28"/>
        </w:rPr>
      </w:pPr>
      <w:r w:rsidRPr="004A3062">
        <w:rPr>
          <w:rFonts w:ascii="Times New Roman" w:hAnsi="Times New Roman" w:cs="Times New Roman"/>
          <w:sz w:val="28"/>
          <w:szCs w:val="28"/>
        </w:rPr>
        <w:t>L’emendamento propone di estendere la misura derogatoria prevista dall’art. 3, comma 6, del D.L. n. 44/2023, senza aumentare la spesa pubblica, a tutte le sedi di segreteria, a prescindere dal dato del tutto casuale se le stesse fossero coperte o meno alla data del 22 aprile 2023.</w:t>
      </w:r>
      <w:r w:rsidR="005C3ACF" w:rsidRPr="005C3ACF">
        <w:rPr>
          <w:rFonts w:ascii="Times New Roman" w:hAnsi="Times New Roman" w:cs="Times New Roman"/>
          <w:sz w:val="28"/>
          <w:szCs w:val="28"/>
        </w:rPr>
        <w:t xml:space="preserve"> </w:t>
      </w:r>
      <w:r w:rsidR="0059305E" w:rsidRPr="0059305E">
        <w:rPr>
          <w:rFonts w:ascii="Times New Roman" w:hAnsi="Times New Roman" w:cs="Times New Roman"/>
          <w:sz w:val="28"/>
          <w:szCs w:val="28"/>
        </w:rPr>
        <w:t>Gli enti locali, individuati tra gli attori principali dell’attuazione del Piano Nazionale di Ripresa e Resilienza (PNRR), hanno sin da subito evidenziato il tema della scarsità delle risorse umane in dotazione, insufficienti a garantirne l’attuazione ed hanno chiesto, ed in parte ottenuto, misure urgenti finalizzate al loro potenziamento.</w:t>
      </w:r>
    </w:p>
    <w:p w14:paraId="407EC32B" w14:textId="3512FF93" w:rsidR="0059305E" w:rsidRPr="0059305E" w:rsidRDefault="0059305E" w:rsidP="0059305E">
      <w:pPr>
        <w:spacing w:line="360" w:lineRule="auto"/>
        <w:jc w:val="both"/>
        <w:rPr>
          <w:rFonts w:ascii="Times New Roman" w:hAnsi="Times New Roman" w:cs="Times New Roman"/>
          <w:sz w:val="28"/>
          <w:szCs w:val="28"/>
        </w:rPr>
      </w:pPr>
      <w:r w:rsidRPr="0059305E">
        <w:rPr>
          <w:rFonts w:ascii="Times New Roman" w:hAnsi="Times New Roman" w:cs="Times New Roman"/>
          <w:sz w:val="28"/>
          <w:szCs w:val="28"/>
        </w:rPr>
        <w:t>Tra le soluzioni già richiese</w:t>
      </w:r>
      <w:r w:rsidR="00B875CF">
        <w:rPr>
          <w:rFonts w:ascii="Times New Roman" w:hAnsi="Times New Roman" w:cs="Times New Roman"/>
          <w:sz w:val="28"/>
          <w:szCs w:val="28"/>
        </w:rPr>
        <w:t xml:space="preserve">, </w:t>
      </w:r>
      <w:r w:rsidR="00E91274">
        <w:rPr>
          <w:rFonts w:ascii="Times New Roman" w:hAnsi="Times New Roman" w:cs="Times New Roman"/>
          <w:sz w:val="28"/>
          <w:szCs w:val="28"/>
        </w:rPr>
        <w:t xml:space="preserve">attuata in parte con il </w:t>
      </w:r>
      <w:r w:rsidR="00F625B5">
        <w:rPr>
          <w:rFonts w:ascii="Times New Roman" w:hAnsi="Times New Roman" w:cs="Times New Roman"/>
          <w:sz w:val="28"/>
          <w:szCs w:val="28"/>
        </w:rPr>
        <w:t>decreto-legge</w:t>
      </w:r>
      <w:r w:rsidR="00E91274">
        <w:rPr>
          <w:rFonts w:ascii="Times New Roman" w:hAnsi="Times New Roman" w:cs="Times New Roman"/>
          <w:sz w:val="28"/>
          <w:szCs w:val="28"/>
        </w:rPr>
        <w:t xml:space="preserve"> oggetto di conversione</w:t>
      </w:r>
      <w:r w:rsidRPr="0059305E">
        <w:rPr>
          <w:rFonts w:ascii="Times New Roman" w:hAnsi="Times New Roman" w:cs="Times New Roman"/>
          <w:sz w:val="28"/>
          <w:szCs w:val="28"/>
        </w:rPr>
        <w:t xml:space="preserve">, al fine di garantire la funzionalità stessa degli enti locali, </w:t>
      </w:r>
      <w:r w:rsidR="00E91274">
        <w:rPr>
          <w:rFonts w:ascii="Times New Roman" w:hAnsi="Times New Roman" w:cs="Times New Roman"/>
          <w:sz w:val="28"/>
          <w:szCs w:val="28"/>
        </w:rPr>
        <w:t xml:space="preserve">vi è </w:t>
      </w:r>
      <w:r w:rsidRPr="0059305E">
        <w:rPr>
          <w:rFonts w:ascii="Times New Roman" w:hAnsi="Times New Roman" w:cs="Times New Roman"/>
          <w:sz w:val="28"/>
          <w:szCs w:val="28"/>
        </w:rPr>
        <w:t>quella finalizzata a risolvere il tema della carenza dei segretari comunali, figura necessaria in ogni comune ai sensi dell’art. 97 del D.Lgs. 267/2000 (“Il comune e la provincia hanno un segretario titolare dipendente dall'Agenzia autonoma per la gestione dell'albo dei segretari comunali e provinciali …”) e indispensabile - in ragione dell’assegnato ruolo di coordinamento della dirigenza degli enti locali – ad assicurare l’effettiva capacità delle amministrazioni locali di gestire il piano per la parte loro spettante.</w:t>
      </w:r>
    </w:p>
    <w:p w14:paraId="07C0F031" w14:textId="2672658A" w:rsidR="00600AEC" w:rsidRPr="007B534F" w:rsidRDefault="00600AEC">
      <w:pPr>
        <w:rPr>
          <w:rFonts w:ascii="Times New Roman" w:hAnsi="Times New Roman" w:cs="Times New Roman"/>
          <w:sz w:val="28"/>
          <w:szCs w:val="28"/>
        </w:rPr>
      </w:pPr>
    </w:p>
    <w:sectPr w:rsidR="00600AEC" w:rsidRPr="007B534F" w:rsidSect="00600AEC">
      <w:headerReference w:type="default" r:id="rId9"/>
      <w:footerReference w:type="default" r:id="rId10"/>
      <w:pgSz w:w="11906" w:h="16838"/>
      <w:pgMar w:top="1417" w:right="1134" w:bottom="1418"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5D08" w14:textId="77777777" w:rsidR="00974F27" w:rsidRDefault="00974F27" w:rsidP="00600AEC">
      <w:pPr>
        <w:spacing w:after="0" w:line="240" w:lineRule="auto"/>
      </w:pPr>
      <w:r>
        <w:separator/>
      </w:r>
    </w:p>
  </w:endnote>
  <w:endnote w:type="continuationSeparator" w:id="0">
    <w:p w14:paraId="429408F3" w14:textId="77777777" w:rsidR="00974F27" w:rsidRDefault="00974F27" w:rsidP="006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AA9C" w14:textId="77777777" w:rsidR="00321CB1" w:rsidRDefault="00321CB1" w:rsidP="00600AEC">
    <w:pPr>
      <w:pStyle w:val="Pidipagina"/>
      <w:pBdr>
        <w:top w:val="thinThickSmallGap" w:sz="24" w:space="1" w:color="622423" w:themeColor="accent2" w:themeShade="7F"/>
      </w:pBdr>
      <w:jc w:val="center"/>
      <w:rPr>
        <w:rFonts w:asciiTheme="majorHAnsi" w:hAnsiTheme="majorHAnsi"/>
      </w:rPr>
    </w:pPr>
    <w:r>
      <w:rPr>
        <w:rFonts w:ascii="Times New Roman" w:hAnsi="Times New Roman"/>
        <w:i/>
        <w:iCs/>
      </w:rPr>
      <w:t xml:space="preserve">UNSCP, </w:t>
    </w:r>
    <w:r w:rsidRPr="003D54E4">
      <w:rPr>
        <w:rFonts w:ascii="Times New Roman" w:hAnsi="Times New Roman"/>
        <w:i/>
        <w:iCs/>
      </w:rPr>
      <w:t>Sede: 00184 ROMA- Via Napoli,27- Tel 06/47824327- Fax 06/47886945</w:t>
    </w:r>
    <w:r>
      <w:rPr>
        <w:rFonts w:ascii="Times New Roman" w:hAnsi="Times New Roman"/>
        <w:i/>
        <w:iCs/>
      </w:rPr>
      <w:t xml:space="preserve">     </w:t>
    </w:r>
    <w:hyperlink r:id="rId1" w:history="1">
      <w:r w:rsidRPr="003D54E4">
        <w:rPr>
          <w:rStyle w:val="Hyperlink0"/>
          <w:rFonts w:eastAsia="Calibri"/>
        </w:rPr>
        <w:t>http://www.segretarientilocali.it</w:t>
      </w:r>
    </w:hyperlink>
    <w:r w:rsidRPr="003D54E4">
      <w:rPr>
        <w:rStyle w:val="Nessuno"/>
        <w:rFonts w:ascii="Times New Roman" w:hAnsi="Times New Roman"/>
        <w:i/>
        <w:iCs/>
      </w:rPr>
      <w:t xml:space="preserve">    e-mail: </w:t>
    </w:r>
    <w:hyperlink r:id="rId2" w:history="1">
      <w:r w:rsidRPr="003D54E4">
        <w:rPr>
          <w:rStyle w:val="Hyperlink0"/>
          <w:rFonts w:eastAsia="Calibri"/>
        </w:rPr>
        <w:t>unscp@live.it</w:t>
      </w:r>
    </w:hyperlink>
    <w:r>
      <w:t xml:space="preserve">                               </w:t>
    </w:r>
  </w:p>
  <w:p w14:paraId="120C0521" w14:textId="77777777" w:rsidR="00321CB1" w:rsidRDefault="00321C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B089" w14:textId="77777777" w:rsidR="00974F27" w:rsidRDefault="00974F27" w:rsidP="00600AEC">
      <w:pPr>
        <w:spacing w:after="0" w:line="240" w:lineRule="auto"/>
      </w:pPr>
      <w:r>
        <w:separator/>
      </w:r>
    </w:p>
  </w:footnote>
  <w:footnote w:type="continuationSeparator" w:id="0">
    <w:p w14:paraId="7C3F1ABE" w14:textId="77777777" w:rsidR="00974F27" w:rsidRDefault="00974F27" w:rsidP="00600AEC">
      <w:pPr>
        <w:spacing w:after="0" w:line="240" w:lineRule="auto"/>
      </w:pPr>
      <w:r>
        <w:continuationSeparator/>
      </w:r>
    </w:p>
  </w:footnote>
  <w:footnote w:id="1">
    <w:p w14:paraId="4CF0897A" w14:textId="77777777" w:rsidR="0020151A" w:rsidRDefault="0020151A" w:rsidP="0020151A">
      <w:pPr>
        <w:pStyle w:val="Testonotaapidipagina"/>
        <w:jc w:val="both"/>
      </w:pPr>
      <w:r>
        <w:rPr>
          <w:rStyle w:val="Rimandonotaapidipagina"/>
        </w:rPr>
        <w:footnoteRef/>
      </w:r>
      <w:r>
        <w:t xml:space="preserve"> </w:t>
      </w:r>
      <w:r w:rsidRPr="0020151A">
        <w:t>La Corte Costituzionale con la sentenza n. 23 del 22/02/2019 nel ritenere conforme alle previsioni costituzionali l’art. 99 del d.lgs. n. 267/2000 secondo cui il segretario comunale resta in carica per un periodo corrispondente a quello del sindaco che lo ha nominato e cessa automaticamente dall’incarico al termine del mandato di quest’ultimo, si è soffermata sulle funzioni svolte dal segretario comunale.</w:t>
      </w:r>
      <w:r>
        <w:t xml:space="preserve"> </w:t>
      </w:r>
      <w:r w:rsidRPr="0020151A">
        <w:t>Dopo aver evidenziato che “Il segretario comunale è certamente figura apicale e altrettanto certamente intrattiene con il sindaco rapporti diretti, senza intermediazione di altri dirigenti o strutture amministrative”, la Corte individua tre gruppi di attribuzioni del segretario comunale:</w:t>
      </w:r>
      <w:r>
        <w:t xml:space="preserve"> </w:t>
      </w:r>
      <w:r w:rsidRPr="0020151A">
        <w:t>1.</w:t>
      </w:r>
      <w:r>
        <w:t xml:space="preserve"> </w:t>
      </w:r>
      <w:r w:rsidRPr="0020151A">
        <w:t>funzioni di certificazione, di controllo di legalità o di attuazione di indirizzi altrui</w:t>
      </w:r>
      <w:r>
        <w:t xml:space="preserve">; </w:t>
      </w:r>
      <w:r w:rsidRPr="0020151A">
        <w:t>2.</w:t>
      </w:r>
      <w:r>
        <w:t xml:space="preserve"> </w:t>
      </w:r>
      <w:r w:rsidRPr="0020151A">
        <w:t>funzioni di supporto</w:t>
      </w:r>
      <w:r>
        <w:t xml:space="preserve"> </w:t>
      </w:r>
      <w:r w:rsidRPr="0020151A">
        <w:t>propositivo all’azione degli organi comunali</w:t>
      </w:r>
      <w:r>
        <w:t xml:space="preserve">; </w:t>
      </w:r>
      <w:r w:rsidRPr="0020151A">
        <w:t>3.</w:t>
      </w:r>
      <w:r>
        <w:t xml:space="preserve"> </w:t>
      </w:r>
      <w:r w:rsidRPr="0020151A">
        <w:t>funzioni di carattere eminentemente gestionale, definite dalla Corte “quasi manageriali”.</w:t>
      </w:r>
    </w:p>
  </w:footnote>
  <w:footnote w:id="2">
    <w:p w14:paraId="749AFE3E" w14:textId="63E9888B" w:rsidR="00E66E75" w:rsidRDefault="00E66E75">
      <w:pPr>
        <w:pStyle w:val="Testonotaapidipagina"/>
      </w:pPr>
      <w:r>
        <w:rPr>
          <w:rStyle w:val="Rimandonotaapidipagina"/>
        </w:rPr>
        <w:footnoteRef/>
      </w:r>
      <w:r>
        <w:t xml:space="preserve"> </w:t>
      </w:r>
      <w:r w:rsidRPr="00E66E75">
        <w:t>“Il comune e la provincia hanno un segretario titolare dipendente dall'Agenzia autonoma per la gestione dell'albo dei segretari comunali e provinciali …”</w:t>
      </w:r>
      <w:r>
        <w:t>.</w:t>
      </w:r>
    </w:p>
  </w:footnote>
  <w:footnote w:id="3">
    <w:p w14:paraId="28FDB8E9" w14:textId="77777777" w:rsidR="001774B4" w:rsidRPr="001774B4" w:rsidRDefault="001774B4" w:rsidP="001774B4">
      <w:pPr>
        <w:pStyle w:val="Testonotaapidipagina"/>
        <w:jc w:val="both"/>
      </w:pPr>
      <w:r>
        <w:rPr>
          <w:rStyle w:val="Rimandonotaapidipagina"/>
        </w:rPr>
        <w:footnoteRef/>
      </w:r>
      <w:r>
        <w:t xml:space="preserve"> </w:t>
      </w:r>
      <w:r w:rsidRPr="001774B4">
        <w:t>La norma di carattere transitorio mira ad assicurare fino al 31 dicembre 2026 ai comuni di minore dimensione di poter contare su contributi necessari a sostenere la spesa del segretario comunale. L’attribuzione di contributi temporanei ha l’obiettivo di risolvere nell’immediato, in modo temporaneo, due difficoltà che si sono riscontrate in alcuni comuni per l’assunzione di nuovi segretari:</w:t>
      </w:r>
    </w:p>
    <w:p w14:paraId="28AB9092" w14:textId="77777777" w:rsidR="001774B4" w:rsidRPr="001774B4" w:rsidRDefault="001774B4" w:rsidP="00244426">
      <w:pPr>
        <w:pStyle w:val="Testonotaapidipagina"/>
        <w:numPr>
          <w:ilvl w:val="0"/>
          <w:numId w:val="10"/>
        </w:numPr>
        <w:jc w:val="both"/>
      </w:pPr>
      <w:r w:rsidRPr="001774B4">
        <w:t>l’impossibilità negli enti più piccoli, che sono sprovvisti di tale figura da anni, di rispettare il limite di spesa previsto dall’art. 1, commi 557-quater e 562, della legge 27 dicembre 2006, n. 296;</w:t>
      </w:r>
    </w:p>
    <w:p w14:paraId="58D60748" w14:textId="77777777" w:rsidR="001774B4" w:rsidRPr="001774B4" w:rsidRDefault="001774B4" w:rsidP="001774B4">
      <w:pPr>
        <w:pStyle w:val="Testonotaapidipagina"/>
        <w:numPr>
          <w:ilvl w:val="0"/>
          <w:numId w:val="10"/>
        </w:numPr>
      </w:pPr>
      <w:r w:rsidRPr="001774B4">
        <w:t>la carenza temporanea di effettive risorse economiche.</w:t>
      </w:r>
    </w:p>
    <w:p w14:paraId="133D5005" w14:textId="25E2319F" w:rsidR="001774B4" w:rsidRDefault="001774B4">
      <w:pPr>
        <w:pStyle w:val="Testonotaapidipagina"/>
      </w:pPr>
    </w:p>
  </w:footnote>
  <w:footnote w:id="4">
    <w:p w14:paraId="60008148" w14:textId="103D7943" w:rsidR="00D60BED" w:rsidRDefault="00D60BED" w:rsidP="00961799">
      <w:pPr>
        <w:pStyle w:val="Testonotaapidipagina"/>
        <w:jc w:val="both"/>
      </w:pPr>
      <w:r>
        <w:rPr>
          <w:rStyle w:val="Rimandonotaapidipagina"/>
        </w:rPr>
        <w:footnoteRef/>
      </w:r>
      <w:r>
        <w:t xml:space="preserve"> La deroga è stata inizialmente disposta dall’</w:t>
      </w:r>
      <w:r w:rsidRPr="00D60BED">
        <w:t>art</w:t>
      </w:r>
      <w:r w:rsidR="00557031">
        <w:t>.</w:t>
      </w:r>
      <w:r w:rsidRPr="00D60BED">
        <w:t xml:space="preserve"> 12-bis, comma 1, lettere b), c) e d), del D.L. 27 gennaio 2022, n. 4, convertito, con modificazioni, dalla L. 28 marzo 2022, n. 25, e</w:t>
      </w:r>
      <w:r w:rsidR="00557031">
        <w:t xml:space="preserve"> da</w:t>
      </w:r>
      <w:r w:rsidRPr="00D60BED">
        <w:t>l relativo decreto attuativo del Ministro dell'interno del 29 aprile 2022</w:t>
      </w:r>
      <w:r w:rsidR="00557031">
        <w:t>.</w:t>
      </w:r>
    </w:p>
  </w:footnote>
  <w:footnote w:id="5">
    <w:p w14:paraId="6A44E26B" w14:textId="7AF6A09B" w:rsidR="00140C53" w:rsidRDefault="00140C53" w:rsidP="00815AA0">
      <w:pPr>
        <w:pStyle w:val="Testonotaapidipagina"/>
        <w:jc w:val="both"/>
      </w:pPr>
      <w:r>
        <w:rPr>
          <w:rStyle w:val="Rimandonotaapidipagina"/>
        </w:rPr>
        <w:footnoteRef/>
      </w:r>
      <w:r>
        <w:t xml:space="preserve"> Così il </w:t>
      </w:r>
      <w:hyperlink r:id="rId1" w:history="1">
        <w:r w:rsidRPr="00815AA0">
          <w:rPr>
            <w:rStyle w:val="Collegamentoipertestuale"/>
          </w:rPr>
          <w:t>documento</w:t>
        </w:r>
      </w:hyperlink>
      <w:r>
        <w:t xml:space="preserve"> presentato dall’Unione Nazionale Segretari comunali e provinciali </w:t>
      </w:r>
      <w:r w:rsidR="004044EF">
        <w:t xml:space="preserve">nell’Audizione innanzi all’Ufficio di Presidenza della V Commissione </w:t>
      </w:r>
      <w:r w:rsidR="00862A4D" w:rsidRPr="00862A4D">
        <w:t>Programmazione economica, bilancio</w:t>
      </w:r>
      <w:r w:rsidR="004044EF">
        <w:t xml:space="preserve"> del Senato</w:t>
      </w:r>
      <w:r w:rsidR="00862A4D">
        <w:t xml:space="preserve"> in data 3 marzo 2023.</w:t>
      </w:r>
      <w:r w:rsidR="004044EF">
        <w:t xml:space="preserve"> </w:t>
      </w:r>
    </w:p>
  </w:footnote>
  <w:footnote w:id="6">
    <w:p w14:paraId="6D1B0C2E" w14:textId="3477A825" w:rsidR="00A0453E" w:rsidRDefault="00A0453E">
      <w:pPr>
        <w:pStyle w:val="Testonotaapidipagina"/>
      </w:pPr>
      <w:r>
        <w:rPr>
          <w:rStyle w:val="Rimandonotaapidipagina"/>
        </w:rPr>
        <w:footnoteRef/>
      </w:r>
      <w:r>
        <w:t xml:space="preserve"> </w:t>
      </w:r>
      <w:r w:rsidR="009026F1">
        <w:t xml:space="preserve">In realtà le ragioni per non computare la spesa del segretario </w:t>
      </w:r>
      <w:r w:rsidR="008B1556">
        <w:t xml:space="preserve">nella spesa di personale sono indicate </w:t>
      </w:r>
      <w:r w:rsidR="00C17AA1">
        <w:t>nel rpesente documento a pag.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93"/>
      <w:docPartObj>
        <w:docPartGallery w:val="Page Numbers (Top of Page)"/>
        <w:docPartUnique/>
      </w:docPartObj>
    </w:sdtPr>
    <w:sdtEndPr/>
    <w:sdtContent>
      <w:p w14:paraId="03B65892" w14:textId="77777777" w:rsidR="00321CB1" w:rsidRDefault="001C5A25">
        <w:pPr>
          <w:pStyle w:val="Intestazione"/>
          <w:jc w:val="right"/>
        </w:pPr>
        <w:r>
          <w:fldChar w:fldCharType="begin"/>
        </w:r>
        <w:r w:rsidR="00255608">
          <w:instrText xml:space="preserve"> PAGE   \* MERGEFORMAT </w:instrText>
        </w:r>
        <w:r>
          <w:fldChar w:fldCharType="separate"/>
        </w:r>
        <w:r w:rsidR="00AA26CF">
          <w:rPr>
            <w:noProof/>
          </w:rPr>
          <w:t>2</w:t>
        </w:r>
        <w:r>
          <w:rPr>
            <w:noProof/>
          </w:rPr>
          <w:fldChar w:fldCharType="end"/>
        </w:r>
      </w:p>
    </w:sdtContent>
  </w:sdt>
  <w:p w14:paraId="05709091" w14:textId="77777777" w:rsidR="00321CB1" w:rsidRDefault="00321C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6E6"/>
    <w:multiLevelType w:val="hybridMultilevel"/>
    <w:tmpl w:val="64AED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542AA"/>
    <w:multiLevelType w:val="hybridMultilevel"/>
    <w:tmpl w:val="717AE198"/>
    <w:lvl w:ilvl="0" w:tplc="04661710">
      <w:start w:val="1"/>
      <w:numFmt w:val="bullet"/>
      <w:lvlText w:val="•"/>
      <w:lvlJc w:val="left"/>
      <w:pPr>
        <w:tabs>
          <w:tab w:val="num" w:pos="720"/>
        </w:tabs>
        <w:ind w:left="720" w:hanging="360"/>
      </w:pPr>
      <w:rPr>
        <w:rFonts w:ascii="Arial" w:hAnsi="Arial" w:hint="default"/>
      </w:rPr>
    </w:lvl>
    <w:lvl w:ilvl="1" w:tplc="33B62F00" w:tentative="1">
      <w:start w:val="1"/>
      <w:numFmt w:val="bullet"/>
      <w:lvlText w:val="•"/>
      <w:lvlJc w:val="left"/>
      <w:pPr>
        <w:tabs>
          <w:tab w:val="num" w:pos="1440"/>
        </w:tabs>
        <w:ind w:left="1440" w:hanging="360"/>
      </w:pPr>
      <w:rPr>
        <w:rFonts w:ascii="Arial" w:hAnsi="Arial" w:hint="default"/>
      </w:rPr>
    </w:lvl>
    <w:lvl w:ilvl="2" w:tplc="7AC09D28" w:tentative="1">
      <w:start w:val="1"/>
      <w:numFmt w:val="bullet"/>
      <w:lvlText w:val="•"/>
      <w:lvlJc w:val="left"/>
      <w:pPr>
        <w:tabs>
          <w:tab w:val="num" w:pos="2160"/>
        </w:tabs>
        <w:ind w:left="2160" w:hanging="360"/>
      </w:pPr>
      <w:rPr>
        <w:rFonts w:ascii="Arial" w:hAnsi="Arial" w:hint="default"/>
      </w:rPr>
    </w:lvl>
    <w:lvl w:ilvl="3" w:tplc="B5C4D476" w:tentative="1">
      <w:start w:val="1"/>
      <w:numFmt w:val="bullet"/>
      <w:lvlText w:val="•"/>
      <w:lvlJc w:val="left"/>
      <w:pPr>
        <w:tabs>
          <w:tab w:val="num" w:pos="2880"/>
        </w:tabs>
        <w:ind w:left="2880" w:hanging="360"/>
      </w:pPr>
      <w:rPr>
        <w:rFonts w:ascii="Arial" w:hAnsi="Arial" w:hint="default"/>
      </w:rPr>
    </w:lvl>
    <w:lvl w:ilvl="4" w:tplc="4A642B5C" w:tentative="1">
      <w:start w:val="1"/>
      <w:numFmt w:val="bullet"/>
      <w:lvlText w:val="•"/>
      <w:lvlJc w:val="left"/>
      <w:pPr>
        <w:tabs>
          <w:tab w:val="num" w:pos="3600"/>
        </w:tabs>
        <w:ind w:left="3600" w:hanging="360"/>
      </w:pPr>
      <w:rPr>
        <w:rFonts w:ascii="Arial" w:hAnsi="Arial" w:hint="default"/>
      </w:rPr>
    </w:lvl>
    <w:lvl w:ilvl="5" w:tplc="DCB0EED4" w:tentative="1">
      <w:start w:val="1"/>
      <w:numFmt w:val="bullet"/>
      <w:lvlText w:val="•"/>
      <w:lvlJc w:val="left"/>
      <w:pPr>
        <w:tabs>
          <w:tab w:val="num" w:pos="4320"/>
        </w:tabs>
        <w:ind w:left="4320" w:hanging="360"/>
      </w:pPr>
      <w:rPr>
        <w:rFonts w:ascii="Arial" w:hAnsi="Arial" w:hint="default"/>
      </w:rPr>
    </w:lvl>
    <w:lvl w:ilvl="6" w:tplc="C158D56C" w:tentative="1">
      <w:start w:val="1"/>
      <w:numFmt w:val="bullet"/>
      <w:lvlText w:val="•"/>
      <w:lvlJc w:val="left"/>
      <w:pPr>
        <w:tabs>
          <w:tab w:val="num" w:pos="5040"/>
        </w:tabs>
        <w:ind w:left="5040" w:hanging="360"/>
      </w:pPr>
      <w:rPr>
        <w:rFonts w:ascii="Arial" w:hAnsi="Arial" w:hint="default"/>
      </w:rPr>
    </w:lvl>
    <w:lvl w:ilvl="7" w:tplc="4DB6A350" w:tentative="1">
      <w:start w:val="1"/>
      <w:numFmt w:val="bullet"/>
      <w:lvlText w:val="•"/>
      <w:lvlJc w:val="left"/>
      <w:pPr>
        <w:tabs>
          <w:tab w:val="num" w:pos="5760"/>
        </w:tabs>
        <w:ind w:left="5760" w:hanging="360"/>
      </w:pPr>
      <w:rPr>
        <w:rFonts w:ascii="Arial" w:hAnsi="Arial" w:hint="default"/>
      </w:rPr>
    </w:lvl>
    <w:lvl w:ilvl="8" w:tplc="AF84E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C33DA7"/>
    <w:multiLevelType w:val="hybridMultilevel"/>
    <w:tmpl w:val="DDD26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51F40"/>
    <w:multiLevelType w:val="hybridMultilevel"/>
    <w:tmpl w:val="1D8E2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120154"/>
    <w:multiLevelType w:val="hybridMultilevel"/>
    <w:tmpl w:val="3E629DCA"/>
    <w:lvl w:ilvl="0" w:tplc="BFF0ED70">
      <w:start w:val="1"/>
      <w:numFmt w:val="bullet"/>
      <w:lvlText w:val="•"/>
      <w:lvlJc w:val="left"/>
      <w:pPr>
        <w:tabs>
          <w:tab w:val="num" w:pos="720"/>
        </w:tabs>
        <w:ind w:left="720" w:hanging="360"/>
      </w:pPr>
      <w:rPr>
        <w:rFonts w:ascii="Arial" w:hAnsi="Arial" w:hint="default"/>
      </w:rPr>
    </w:lvl>
    <w:lvl w:ilvl="1" w:tplc="A80A06AA" w:tentative="1">
      <w:start w:val="1"/>
      <w:numFmt w:val="bullet"/>
      <w:lvlText w:val="•"/>
      <w:lvlJc w:val="left"/>
      <w:pPr>
        <w:tabs>
          <w:tab w:val="num" w:pos="1440"/>
        </w:tabs>
        <w:ind w:left="1440" w:hanging="360"/>
      </w:pPr>
      <w:rPr>
        <w:rFonts w:ascii="Arial" w:hAnsi="Arial" w:hint="default"/>
      </w:rPr>
    </w:lvl>
    <w:lvl w:ilvl="2" w:tplc="265AD28E" w:tentative="1">
      <w:start w:val="1"/>
      <w:numFmt w:val="bullet"/>
      <w:lvlText w:val="•"/>
      <w:lvlJc w:val="left"/>
      <w:pPr>
        <w:tabs>
          <w:tab w:val="num" w:pos="2160"/>
        </w:tabs>
        <w:ind w:left="2160" w:hanging="360"/>
      </w:pPr>
      <w:rPr>
        <w:rFonts w:ascii="Arial" w:hAnsi="Arial" w:hint="default"/>
      </w:rPr>
    </w:lvl>
    <w:lvl w:ilvl="3" w:tplc="1EFE815C" w:tentative="1">
      <w:start w:val="1"/>
      <w:numFmt w:val="bullet"/>
      <w:lvlText w:val="•"/>
      <w:lvlJc w:val="left"/>
      <w:pPr>
        <w:tabs>
          <w:tab w:val="num" w:pos="2880"/>
        </w:tabs>
        <w:ind w:left="2880" w:hanging="360"/>
      </w:pPr>
      <w:rPr>
        <w:rFonts w:ascii="Arial" w:hAnsi="Arial" w:hint="default"/>
      </w:rPr>
    </w:lvl>
    <w:lvl w:ilvl="4" w:tplc="426EE140" w:tentative="1">
      <w:start w:val="1"/>
      <w:numFmt w:val="bullet"/>
      <w:lvlText w:val="•"/>
      <w:lvlJc w:val="left"/>
      <w:pPr>
        <w:tabs>
          <w:tab w:val="num" w:pos="3600"/>
        </w:tabs>
        <w:ind w:left="3600" w:hanging="360"/>
      </w:pPr>
      <w:rPr>
        <w:rFonts w:ascii="Arial" w:hAnsi="Arial" w:hint="default"/>
      </w:rPr>
    </w:lvl>
    <w:lvl w:ilvl="5" w:tplc="D00A9012" w:tentative="1">
      <w:start w:val="1"/>
      <w:numFmt w:val="bullet"/>
      <w:lvlText w:val="•"/>
      <w:lvlJc w:val="left"/>
      <w:pPr>
        <w:tabs>
          <w:tab w:val="num" w:pos="4320"/>
        </w:tabs>
        <w:ind w:left="4320" w:hanging="360"/>
      </w:pPr>
      <w:rPr>
        <w:rFonts w:ascii="Arial" w:hAnsi="Arial" w:hint="default"/>
      </w:rPr>
    </w:lvl>
    <w:lvl w:ilvl="6" w:tplc="93C6800E" w:tentative="1">
      <w:start w:val="1"/>
      <w:numFmt w:val="bullet"/>
      <w:lvlText w:val="•"/>
      <w:lvlJc w:val="left"/>
      <w:pPr>
        <w:tabs>
          <w:tab w:val="num" w:pos="5040"/>
        </w:tabs>
        <w:ind w:left="5040" w:hanging="360"/>
      </w:pPr>
      <w:rPr>
        <w:rFonts w:ascii="Arial" w:hAnsi="Arial" w:hint="default"/>
      </w:rPr>
    </w:lvl>
    <w:lvl w:ilvl="7" w:tplc="3034BD5A" w:tentative="1">
      <w:start w:val="1"/>
      <w:numFmt w:val="bullet"/>
      <w:lvlText w:val="•"/>
      <w:lvlJc w:val="left"/>
      <w:pPr>
        <w:tabs>
          <w:tab w:val="num" w:pos="5760"/>
        </w:tabs>
        <w:ind w:left="5760" w:hanging="360"/>
      </w:pPr>
      <w:rPr>
        <w:rFonts w:ascii="Arial" w:hAnsi="Arial" w:hint="default"/>
      </w:rPr>
    </w:lvl>
    <w:lvl w:ilvl="8" w:tplc="9DCABE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B54A1"/>
    <w:multiLevelType w:val="hybridMultilevel"/>
    <w:tmpl w:val="CD8AA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A1557D"/>
    <w:multiLevelType w:val="hybridMultilevel"/>
    <w:tmpl w:val="A348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F4635D"/>
    <w:multiLevelType w:val="multilevel"/>
    <w:tmpl w:val="599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E35B3"/>
    <w:multiLevelType w:val="hybridMultilevel"/>
    <w:tmpl w:val="321A625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D84D58"/>
    <w:multiLevelType w:val="hybridMultilevel"/>
    <w:tmpl w:val="23DE7B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43612B"/>
    <w:multiLevelType w:val="multilevel"/>
    <w:tmpl w:val="926A95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36B1A"/>
    <w:multiLevelType w:val="hybridMultilevel"/>
    <w:tmpl w:val="0EBA3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402EDC"/>
    <w:multiLevelType w:val="hybridMultilevel"/>
    <w:tmpl w:val="D14ABA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933D3C"/>
    <w:multiLevelType w:val="hybridMultilevel"/>
    <w:tmpl w:val="E6F27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89972743">
    <w:abstractNumId w:val="10"/>
  </w:num>
  <w:num w:numId="2" w16cid:durableId="609436768">
    <w:abstractNumId w:val="3"/>
  </w:num>
  <w:num w:numId="3" w16cid:durableId="1310134430">
    <w:abstractNumId w:val="5"/>
  </w:num>
  <w:num w:numId="4" w16cid:durableId="1493109372">
    <w:abstractNumId w:val="6"/>
  </w:num>
  <w:num w:numId="5" w16cid:durableId="2072654625">
    <w:abstractNumId w:val="4"/>
  </w:num>
  <w:num w:numId="6" w16cid:durableId="963850172">
    <w:abstractNumId w:val="1"/>
  </w:num>
  <w:num w:numId="7" w16cid:durableId="1440369569">
    <w:abstractNumId w:val="2"/>
  </w:num>
  <w:num w:numId="8" w16cid:durableId="40249882">
    <w:abstractNumId w:val="11"/>
  </w:num>
  <w:num w:numId="9" w16cid:durableId="746338">
    <w:abstractNumId w:val="12"/>
  </w:num>
  <w:num w:numId="10" w16cid:durableId="1371800601">
    <w:abstractNumId w:val="8"/>
  </w:num>
  <w:num w:numId="11" w16cid:durableId="676007447">
    <w:abstractNumId w:val="9"/>
  </w:num>
  <w:num w:numId="12" w16cid:durableId="1727946227">
    <w:abstractNumId w:val="13"/>
  </w:num>
  <w:num w:numId="13" w16cid:durableId="1922445917">
    <w:abstractNumId w:val="7"/>
  </w:num>
  <w:num w:numId="14" w16cid:durableId="147903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C"/>
    <w:rsid w:val="000153D4"/>
    <w:rsid w:val="00015489"/>
    <w:rsid w:val="00016EA6"/>
    <w:rsid w:val="00023B09"/>
    <w:rsid w:val="000271A2"/>
    <w:rsid w:val="00033CF5"/>
    <w:rsid w:val="00034D9A"/>
    <w:rsid w:val="00043244"/>
    <w:rsid w:val="00063F32"/>
    <w:rsid w:val="0007203B"/>
    <w:rsid w:val="00073C15"/>
    <w:rsid w:val="000825C7"/>
    <w:rsid w:val="00095EE4"/>
    <w:rsid w:val="00095FF7"/>
    <w:rsid w:val="000A0E6E"/>
    <w:rsid w:val="000B4346"/>
    <w:rsid w:val="000C0DDC"/>
    <w:rsid w:val="000C5E7B"/>
    <w:rsid w:val="000C7EA1"/>
    <w:rsid w:val="000D1C23"/>
    <w:rsid w:val="000E0C16"/>
    <w:rsid w:val="000E0F3E"/>
    <w:rsid w:val="00116542"/>
    <w:rsid w:val="001228E0"/>
    <w:rsid w:val="0012449E"/>
    <w:rsid w:val="0012479E"/>
    <w:rsid w:val="00137E23"/>
    <w:rsid w:val="00140C53"/>
    <w:rsid w:val="00146138"/>
    <w:rsid w:val="00156F8E"/>
    <w:rsid w:val="00165274"/>
    <w:rsid w:val="0017534F"/>
    <w:rsid w:val="00175A2F"/>
    <w:rsid w:val="001774B4"/>
    <w:rsid w:val="001940B3"/>
    <w:rsid w:val="00195CDF"/>
    <w:rsid w:val="001973EE"/>
    <w:rsid w:val="001A3F78"/>
    <w:rsid w:val="001A4748"/>
    <w:rsid w:val="001B091B"/>
    <w:rsid w:val="001B0BD7"/>
    <w:rsid w:val="001B2307"/>
    <w:rsid w:val="001B4B20"/>
    <w:rsid w:val="001B5ACE"/>
    <w:rsid w:val="001C2C51"/>
    <w:rsid w:val="001C53D5"/>
    <w:rsid w:val="001C5A25"/>
    <w:rsid w:val="001D24EE"/>
    <w:rsid w:val="001E260B"/>
    <w:rsid w:val="0020151A"/>
    <w:rsid w:val="00213C08"/>
    <w:rsid w:val="00216231"/>
    <w:rsid w:val="00244426"/>
    <w:rsid w:val="0024516E"/>
    <w:rsid w:val="00255608"/>
    <w:rsid w:val="00255621"/>
    <w:rsid w:val="00255823"/>
    <w:rsid w:val="00266076"/>
    <w:rsid w:val="0027194D"/>
    <w:rsid w:val="00273F2C"/>
    <w:rsid w:val="002835BD"/>
    <w:rsid w:val="002969E3"/>
    <w:rsid w:val="002B5FD1"/>
    <w:rsid w:val="002B67DF"/>
    <w:rsid w:val="002C0BF2"/>
    <w:rsid w:val="002D0C02"/>
    <w:rsid w:val="002D2332"/>
    <w:rsid w:val="002D4FB3"/>
    <w:rsid w:val="003000C5"/>
    <w:rsid w:val="00321CB1"/>
    <w:rsid w:val="003264DD"/>
    <w:rsid w:val="00326990"/>
    <w:rsid w:val="00343527"/>
    <w:rsid w:val="00343A30"/>
    <w:rsid w:val="00352144"/>
    <w:rsid w:val="0035692F"/>
    <w:rsid w:val="00363986"/>
    <w:rsid w:val="00365781"/>
    <w:rsid w:val="00365C2E"/>
    <w:rsid w:val="00367840"/>
    <w:rsid w:val="00392A98"/>
    <w:rsid w:val="00397C1E"/>
    <w:rsid w:val="003C5933"/>
    <w:rsid w:val="003D6FA7"/>
    <w:rsid w:val="003E3732"/>
    <w:rsid w:val="003E4462"/>
    <w:rsid w:val="003E764A"/>
    <w:rsid w:val="004044EF"/>
    <w:rsid w:val="00411E8A"/>
    <w:rsid w:val="00412CA3"/>
    <w:rsid w:val="004138A7"/>
    <w:rsid w:val="00426317"/>
    <w:rsid w:val="00443F95"/>
    <w:rsid w:val="00445175"/>
    <w:rsid w:val="004511BC"/>
    <w:rsid w:val="00471958"/>
    <w:rsid w:val="00475B8A"/>
    <w:rsid w:val="00481B1E"/>
    <w:rsid w:val="00486567"/>
    <w:rsid w:val="004876D5"/>
    <w:rsid w:val="00494734"/>
    <w:rsid w:val="004A3062"/>
    <w:rsid w:val="004A6D06"/>
    <w:rsid w:val="004A71F2"/>
    <w:rsid w:val="004A7C33"/>
    <w:rsid w:val="004B28CA"/>
    <w:rsid w:val="004B3733"/>
    <w:rsid w:val="004B3A87"/>
    <w:rsid w:val="004B42A8"/>
    <w:rsid w:val="004C0442"/>
    <w:rsid w:val="004C5540"/>
    <w:rsid w:val="004D11B7"/>
    <w:rsid w:val="004D29AC"/>
    <w:rsid w:val="004F4259"/>
    <w:rsid w:val="00524009"/>
    <w:rsid w:val="00524485"/>
    <w:rsid w:val="0053700E"/>
    <w:rsid w:val="00550B47"/>
    <w:rsid w:val="005522F8"/>
    <w:rsid w:val="00554DB4"/>
    <w:rsid w:val="005556CE"/>
    <w:rsid w:val="0055655A"/>
    <w:rsid w:val="00557031"/>
    <w:rsid w:val="0056595C"/>
    <w:rsid w:val="005772F8"/>
    <w:rsid w:val="005827EE"/>
    <w:rsid w:val="0058795B"/>
    <w:rsid w:val="0059305E"/>
    <w:rsid w:val="005942C5"/>
    <w:rsid w:val="005A0211"/>
    <w:rsid w:val="005A63D8"/>
    <w:rsid w:val="005B2223"/>
    <w:rsid w:val="005B60F5"/>
    <w:rsid w:val="005C1250"/>
    <w:rsid w:val="005C2184"/>
    <w:rsid w:val="005C3ACF"/>
    <w:rsid w:val="005E20CE"/>
    <w:rsid w:val="005E3EDB"/>
    <w:rsid w:val="005F1992"/>
    <w:rsid w:val="005F6CA6"/>
    <w:rsid w:val="005F7D32"/>
    <w:rsid w:val="005F7FB8"/>
    <w:rsid w:val="00600AEC"/>
    <w:rsid w:val="006022C1"/>
    <w:rsid w:val="00610B17"/>
    <w:rsid w:val="00616513"/>
    <w:rsid w:val="00617CF3"/>
    <w:rsid w:val="00641089"/>
    <w:rsid w:val="006565EF"/>
    <w:rsid w:val="006569F6"/>
    <w:rsid w:val="006576AB"/>
    <w:rsid w:val="00661A82"/>
    <w:rsid w:val="006665E6"/>
    <w:rsid w:val="00674B57"/>
    <w:rsid w:val="0068307A"/>
    <w:rsid w:val="0069376A"/>
    <w:rsid w:val="006A0085"/>
    <w:rsid w:val="006A550B"/>
    <w:rsid w:val="006B660F"/>
    <w:rsid w:val="006E4B1B"/>
    <w:rsid w:val="006E4DAD"/>
    <w:rsid w:val="006F4C9C"/>
    <w:rsid w:val="00702281"/>
    <w:rsid w:val="00702865"/>
    <w:rsid w:val="007178D2"/>
    <w:rsid w:val="00733F00"/>
    <w:rsid w:val="007406DE"/>
    <w:rsid w:val="007B534F"/>
    <w:rsid w:val="007C6030"/>
    <w:rsid w:val="007E2ABF"/>
    <w:rsid w:val="00802F39"/>
    <w:rsid w:val="00815AA0"/>
    <w:rsid w:val="0082434A"/>
    <w:rsid w:val="00831843"/>
    <w:rsid w:val="008318A5"/>
    <w:rsid w:val="00831E55"/>
    <w:rsid w:val="00835FD9"/>
    <w:rsid w:val="0083740E"/>
    <w:rsid w:val="00844B28"/>
    <w:rsid w:val="00845A71"/>
    <w:rsid w:val="00860A3F"/>
    <w:rsid w:val="00860FD0"/>
    <w:rsid w:val="00862A4D"/>
    <w:rsid w:val="00872F0D"/>
    <w:rsid w:val="00875251"/>
    <w:rsid w:val="0088661A"/>
    <w:rsid w:val="0089511A"/>
    <w:rsid w:val="00896590"/>
    <w:rsid w:val="00896C4D"/>
    <w:rsid w:val="008A317C"/>
    <w:rsid w:val="008A547B"/>
    <w:rsid w:val="008B1556"/>
    <w:rsid w:val="008B3A63"/>
    <w:rsid w:val="008B3CE0"/>
    <w:rsid w:val="008C0B97"/>
    <w:rsid w:val="008C2F23"/>
    <w:rsid w:val="008C71AB"/>
    <w:rsid w:val="008D1F5E"/>
    <w:rsid w:val="008D4DC9"/>
    <w:rsid w:val="008D52D6"/>
    <w:rsid w:val="008D79F9"/>
    <w:rsid w:val="00900882"/>
    <w:rsid w:val="009019C8"/>
    <w:rsid w:val="00901BC8"/>
    <w:rsid w:val="009026F1"/>
    <w:rsid w:val="009056E2"/>
    <w:rsid w:val="0090589A"/>
    <w:rsid w:val="009241A8"/>
    <w:rsid w:val="00961799"/>
    <w:rsid w:val="00964FE4"/>
    <w:rsid w:val="00971D2D"/>
    <w:rsid w:val="00974F27"/>
    <w:rsid w:val="00983612"/>
    <w:rsid w:val="009872DD"/>
    <w:rsid w:val="009952A7"/>
    <w:rsid w:val="0099773E"/>
    <w:rsid w:val="009A5614"/>
    <w:rsid w:val="009A6837"/>
    <w:rsid w:val="009B446C"/>
    <w:rsid w:val="009B5DDA"/>
    <w:rsid w:val="009C0C38"/>
    <w:rsid w:val="009C0F5C"/>
    <w:rsid w:val="009D18A8"/>
    <w:rsid w:val="009D59DB"/>
    <w:rsid w:val="009F3D53"/>
    <w:rsid w:val="00A0453E"/>
    <w:rsid w:val="00A26F7F"/>
    <w:rsid w:val="00A30450"/>
    <w:rsid w:val="00A35173"/>
    <w:rsid w:val="00A36428"/>
    <w:rsid w:val="00A37D90"/>
    <w:rsid w:val="00A37EDE"/>
    <w:rsid w:val="00A6298B"/>
    <w:rsid w:val="00A64A7B"/>
    <w:rsid w:val="00A70BAC"/>
    <w:rsid w:val="00A97665"/>
    <w:rsid w:val="00AA26CF"/>
    <w:rsid w:val="00AB04C0"/>
    <w:rsid w:val="00AC44C6"/>
    <w:rsid w:val="00AC655F"/>
    <w:rsid w:val="00AF3329"/>
    <w:rsid w:val="00AF3431"/>
    <w:rsid w:val="00B060A5"/>
    <w:rsid w:val="00B06762"/>
    <w:rsid w:val="00B35585"/>
    <w:rsid w:val="00B42264"/>
    <w:rsid w:val="00B446BE"/>
    <w:rsid w:val="00B52017"/>
    <w:rsid w:val="00B53BFE"/>
    <w:rsid w:val="00B551E9"/>
    <w:rsid w:val="00B645D7"/>
    <w:rsid w:val="00B82F9B"/>
    <w:rsid w:val="00B875CF"/>
    <w:rsid w:val="00BB5838"/>
    <w:rsid w:val="00BC3ECB"/>
    <w:rsid w:val="00BD3D38"/>
    <w:rsid w:val="00BE1A41"/>
    <w:rsid w:val="00BE23DE"/>
    <w:rsid w:val="00BF19CA"/>
    <w:rsid w:val="00C17AA1"/>
    <w:rsid w:val="00C31487"/>
    <w:rsid w:val="00C372E9"/>
    <w:rsid w:val="00C42BE1"/>
    <w:rsid w:val="00C607E5"/>
    <w:rsid w:val="00C777BF"/>
    <w:rsid w:val="00C77998"/>
    <w:rsid w:val="00C85ED7"/>
    <w:rsid w:val="00C9302D"/>
    <w:rsid w:val="00CB3519"/>
    <w:rsid w:val="00CB4558"/>
    <w:rsid w:val="00CC2F08"/>
    <w:rsid w:val="00CD4F93"/>
    <w:rsid w:val="00CE5631"/>
    <w:rsid w:val="00CE7E05"/>
    <w:rsid w:val="00D11B0B"/>
    <w:rsid w:val="00D13BF8"/>
    <w:rsid w:val="00D15B4E"/>
    <w:rsid w:val="00D15FF6"/>
    <w:rsid w:val="00D218BE"/>
    <w:rsid w:val="00D23DB7"/>
    <w:rsid w:val="00D23E48"/>
    <w:rsid w:val="00D33DBC"/>
    <w:rsid w:val="00D406CF"/>
    <w:rsid w:val="00D424D6"/>
    <w:rsid w:val="00D56355"/>
    <w:rsid w:val="00D60BED"/>
    <w:rsid w:val="00D75291"/>
    <w:rsid w:val="00D753D1"/>
    <w:rsid w:val="00D96FCC"/>
    <w:rsid w:val="00DA6C6B"/>
    <w:rsid w:val="00DD2BDD"/>
    <w:rsid w:val="00DD33D7"/>
    <w:rsid w:val="00DF08E1"/>
    <w:rsid w:val="00DF5FDC"/>
    <w:rsid w:val="00E007B2"/>
    <w:rsid w:val="00E05406"/>
    <w:rsid w:val="00E1272B"/>
    <w:rsid w:val="00E1309F"/>
    <w:rsid w:val="00E15A4A"/>
    <w:rsid w:val="00E17E01"/>
    <w:rsid w:val="00E26999"/>
    <w:rsid w:val="00E3124A"/>
    <w:rsid w:val="00E46C1A"/>
    <w:rsid w:val="00E54E8F"/>
    <w:rsid w:val="00E553BB"/>
    <w:rsid w:val="00E621A3"/>
    <w:rsid w:val="00E63E03"/>
    <w:rsid w:val="00E66E75"/>
    <w:rsid w:val="00E738D3"/>
    <w:rsid w:val="00E761ED"/>
    <w:rsid w:val="00E76635"/>
    <w:rsid w:val="00E80399"/>
    <w:rsid w:val="00E80612"/>
    <w:rsid w:val="00E87F52"/>
    <w:rsid w:val="00E91274"/>
    <w:rsid w:val="00E95150"/>
    <w:rsid w:val="00EC477A"/>
    <w:rsid w:val="00EC6DF5"/>
    <w:rsid w:val="00EC6E3B"/>
    <w:rsid w:val="00EC734A"/>
    <w:rsid w:val="00ED4121"/>
    <w:rsid w:val="00EE43ED"/>
    <w:rsid w:val="00EF4EC9"/>
    <w:rsid w:val="00EF5A77"/>
    <w:rsid w:val="00F00CC5"/>
    <w:rsid w:val="00F11BA4"/>
    <w:rsid w:val="00F1465D"/>
    <w:rsid w:val="00F15277"/>
    <w:rsid w:val="00F204B0"/>
    <w:rsid w:val="00F33CCB"/>
    <w:rsid w:val="00F3741D"/>
    <w:rsid w:val="00F625B5"/>
    <w:rsid w:val="00F66161"/>
    <w:rsid w:val="00F92702"/>
    <w:rsid w:val="00FC365D"/>
    <w:rsid w:val="00FC753E"/>
    <w:rsid w:val="00FE4051"/>
    <w:rsid w:val="00FF6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2752"/>
  <w15:docId w15:val="{50651E07-AFE6-428F-AE19-34F0D94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244"/>
  </w:style>
  <w:style w:type="paragraph" w:styleId="Titolo1">
    <w:name w:val="heading 1"/>
    <w:basedOn w:val="Normale"/>
    <w:next w:val="Normale"/>
    <w:link w:val="Titolo1Carattere"/>
    <w:uiPriority w:val="9"/>
    <w:qFormat/>
    <w:rsid w:val="009D5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E4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0AEC"/>
    <w:rPr>
      <w:color w:val="0000FF"/>
      <w:u w:val="single"/>
    </w:rPr>
  </w:style>
  <w:style w:type="paragraph" w:customStyle="1" w:styleId="Default">
    <w:name w:val="Default"/>
    <w:rsid w:val="00600AEC"/>
    <w:pPr>
      <w:suppressAutoHyphens/>
      <w:autoSpaceDN w:val="0"/>
      <w:spacing w:after="0" w:line="240" w:lineRule="auto"/>
      <w:textAlignment w:val="baseline"/>
    </w:pPr>
    <w:rPr>
      <w:rFonts w:ascii="Calibri" w:eastAsia="Calibri" w:hAnsi="Calibri" w:cs="Calibri"/>
      <w:color w:val="000000"/>
      <w:kern w:val="3"/>
      <w:sz w:val="24"/>
      <w:szCs w:val="24"/>
      <w:lang w:eastAsia="it-IT"/>
    </w:rPr>
  </w:style>
  <w:style w:type="character" w:customStyle="1" w:styleId="Nessuno">
    <w:name w:val="Nessuno"/>
    <w:uiPriority w:val="99"/>
    <w:rsid w:val="00600AEC"/>
  </w:style>
  <w:style w:type="character" w:customStyle="1" w:styleId="Hyperlink0">
    <w:name w:val="Hyperlink.0"/>
    <w:basedOn w:val="Nessuno"/>
    <w:rsid w:val="00600AEC"/>
    <w:rPr>
      <w:rFonts w:ascii="Times New Roman" w:eastAsia="Times New Roman" w:hAnsi="Times New Roman" w:cs="Times New Roman"/>
      <w:i/>
      <w:iCs/>
      <w:color w:val="0000FF"/>
      <w:u w:val="single" w:color="000000"/>
    </w:rPr>
  </w:style>
  <w:style w:type="paragraph" w:styleId="Paragrafoelenco">
    <w:name w:val="List Paragraph"/>
    <w:basedOn w:val="Normale"/>
    <w:uiPriority w:val="34"/>
    <w:qFormat/>
    <w:rsid w:val="00600AEC"/>
    <w:pPr>
      <w:spacing w:after="160" w:line="259" w:lineRule="auto"/>
      <w:ind w:left="720"/>
      <w:contextualSpacing/>
    </w:pPr>
  </w:style>
  <w:style w:type="paragraph" w:styleId="Testonotaapidipagina">
    <w:name w:val="footnote text"/>
    <w:basedOn w:val="Normale"/>
    <w:link w:val="TestonotaapidipaginaCarattere"/>
    <w:uiPriority w:val="99"/>
    <w:unhideWhenUsed/>
    <w:rsid w:val="00600A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00AEC"/>
    <w:rPr>
      <w:sz w:val="20"/>
      <w:szCs w:val="20"/>
    </w:rPr>
  </w:style>
  <w:style w:type="character" w:styleId="Rimandonotaapidipagina">
    <w:name w:val="footnote reference"/>
    <w:basedOn w:val="Carpredefinitoparagrafo"/>
    <w:uiPriority w:val="99"/>
    <w:semiHidden/>
    <w:unhideWhenUsed/>
    <w:rsid w:val="00600AEC"/>
    <w:rPr>
      <w:vertAlign w:val="superscript"/>
    </w:rPr>
  </w:style>
  <w:style w:type="paragraph" w:styleId="Intestazione">
    <w:name w:val="header"/>
    <w:basedOn w:val="Normale"/>
    <w:link w:val="IntestazioneCarattere"/>
    <w:uiPriority w:val="99"/>
    <w:unhideWhenUsed/>
    <w:rsid w:val="00600A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AEC"/>
  </w:style>
  <w:style w:type="paragraph" w:styleId="Pidipagina">
    <w:name w:val="footer"/>
    <w:basedOn w:val="Normale"/>
    <w:link w:val="PidipaginaCarattere"/>
    <w:uiPriority w:val="99"/>
    <w:unhideWhenUsed/>
    <w:rsid w:val="00600A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AEC"/>
  </w:style>
  <w:style w:type="paragraph" w:styleId="Testofumetto">
    <w:name w:val="Balloon Text"/>
    <w:basedOn w:val="Normale"/>
    <w:link w:val="TestofumettoCarattere"/>
    <w:uiPriority w:val="99"/>
    <w:semiHidden/>
    <w:unhideWhenUsed/>
    <w:rsid w:val="00600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EC"/>
    <w:rPr>
      <w:rFonts w:ascii="Tahoma" w:hAnsi="Tahoma" w:cs="Tahoma"/>
      <w:sz w:val="16"/>
      <w:szCs w:val="16"/>
    </w:rPr>
  </w:style>
  <w:style w:type="character" w:customStyle="1" w:styleId="Titolo1Carattere">
    <w:name w:val="Titolo 1 Carattere"/>
    <w:basedOn w:val="Carpredefinitoparagrafo"/>
    <w:link w:val="Titolo1"/>
    <w:uiPriority w:val="9"/>
    <w:rsid w:val="009D59DB"/>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90589A"/>
    <w:rPr>
      <w:rFonts w:ascii="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1C53D5"/>
    <w:rPr>
      <w:color w:val="605E5C"/>
      <w:shd w:val="clear" w:color="auto" w:fill="E1DFDD"/>
    </w:rPr>
  </w:style>
  <w:style w:type="character" w:customStyle="1" w:styleId="Titolo2Carattere">
    <w:name w:val="Titolo 2 Carattere"/>
    <w:basedOn w:val="Carpredefinitoparagrafo"/>
    <w:link w:val="Titolo2"/>
    <w:uiPriority w:val="9"/>
    <w:semiHidden/>
    <w:rsid w:val="003E4462"/>
    <w:rPr>
      <w:rFonts w:asciiTheme="majorHAnsi" w:eastAsiaTheme="majorEastAsia" w:hAnsiTheme="majorHAnsi" w:cstheme="majorBidi"/>
      <w:color w:val="365F91" w:themeColor="accent1" w:themeShade="BF"/>
      <w:sz w:val="26"/>
      <w:szCs w:val="26"/>
    </w:rPr>
  </w:style>
  <w:style w:type="character" w:styleId="Enfasicorsivo">
    <w:name w:val="Emphasis"/>
    <w:basedOn w:val="Carpredefinitoparagrafo"/>
    <w:uiPriority w:val="20"/>
    <w:qFormat/>
    <w:rsid w:val="009D18A8"/>
    <w:rPr>
      <w:i/>
      <w:iCs/>
    </w:rPr>
  </w:style>
  <w:style w:type="paragraph" w:styleId="Corpotesto">
    <w:name w:val="Body Text"/>
    <w:basedOn w:val="Normale"/>
    <w:link w:val="CorpotestoCarattere"/>
    <w:uiPriority w:val="99"/>
    <w:semiHidden/>
    <w:unhideWhenUsed/>
    <w:rsid w:val="005F6CA6"/>
    <w:pPr>
      <w:spacing w:after="120"/>
    </w:pPr>
  </w:style>
  <w:style w:type="character" w:customStyle="1" w:styleId="CorpotestoCarattere">
    <w:name w:val="Corpo testo Carattere"/>
    <w:basedOn w:val="Carpredefinitoparagrafo"/>
    <w:link w:val="Corpotesto"/>
    <w:uiPriority w:val="99"/>
    <w:semiHidden/>
    <w:rsid w:val="005F6CA6"/>
  </w:style>
  <w:style w:type="character" w:styleId="Menzionenonrisolta">
    <w:name w:val="Unresolved Mention"/>
    <w:basedOn w:val="Carpredefinitoparagrafo"/>
    <w:uiPriority w:val="99"/>
    <w:semiHidden/>
    <w:unhideWhenUsed/>
    <w:rsid w:val="009B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7333">
      <w:bodyDiv w:val="1"/>
      <w:marLeft w:val="0"/>
      <w:marRight w:val="0"/>
      <w:marTop w:val="0"/>
      <w:marBottom w:val="0"/>
      <w:divBdr>
        <w:top w:val="none" w:sz="0" w:space="0" w:color="auto"/>
        <w:left w:val="none" w:sz="0" w:space="0" w:color="auto"/>
        <w:bottom w:val="none" w:sz="0" w:space="0" w:color="auto"/>
        <w:right w:val="none" w:sz="0" w:space="0" w:color="auto"/>
      </w:divBdr>
    </w:div>
    <w:div w:id="342900941">
      <w:bodyDiv w:val="1"/>
      <w:marLeft w:val="0"/>
      <w:marRight w:val="0"/>
      <w:marTop w:val="0"/>
      <w:marBottom w:val="0"/>
      <w:divBdr>
        <w:top w:val="none" w:sz="0" w:space="0" w:color="auto"/>
        <w:left w:val="none" w:sz="0" w:space="0" w:color="auto"/>
        <w:bottom w:val="none" w:sz="0" w:space="0" w:color="auto"/>
        <w:right w:val="none" w:sz="0" w:space="0" w:color="auto"/>
      </w:divBdr>
    </w:div>
    <w:div w:id="364133887">
      <w:bodyDiv w:val="1"/>
      <w:marLeft w:val="0"/>
      <w:marRight w:val="0"/>
      <w:marTop w:val="0"/>
      <w:marBottom w:val="0"/>
      <w:divBdr>
        <w:top w:val="none" w:sz="0" w:space="0" w:color="auto"/>
        <w:left w:val="none" w:sz="0" w:space="0" w:color="auto"/>
        <w:bottom w:val="none" w:sz="0" w:space="0" w:color="auto"/>
        <w:right w:val="none" w:sz="0" w:space="0" w:color="auto"/>
      </w:divBdr>
      <w:divsChild>
        <w:div w:id="176164110">
          <w:marLeft w:val="446"/>
          <w:marRight w:val="0"/>
          <w:marTop w:val="106"/>
          <w:marBottom w:val="120"/>
          <w:divBdr>
            <w:top w:val="none" w:sz="0" w:space="0" w:color="auto"/>
            <w:left w:val="none" w:sz="0" w:space="0" w:color="auto"/>
            <w:bottom w:val="none" w:sz="0" w:space="0" w:color="auto"/>
            <w:right w:val="none" w:sz="0" w:space="0" w:color="auto"/>
          </w:divBdr>
        </w:div>
        <w:div w:id="896016567">
          <w:marLeft w:val="446"/>
          <w:marRight w:val="0"/>
          <w:marTop w:val="106"/>
          <w:marBottom w:val="120"/>
          <w:divBdr>
            <w:top w:val="none" w:sz="0" w:space="0" w:color="auto"/>
            <w:left w:val="none" w:sz="0" w:space="0" w:color="auto"/>
            <w:bottom w:val="none" w:sz="0" w:space="0" w:color="auto"/>
            <w:right w:val="none" w:sz="0" w:space="0" w:color="auto"/>
          </w:divBdr>
        </w:div>
        <w:div w:id="1019742836">
          <w:marLeft w:val="446"/>
          <w:marRight w:val="0"/>
          <w:marTop w:val="106"/>
          <w:marBottom w:val="120"/>
          <w:divBdr>
            <w:top w:val="none" w:sz="0" w:space="0" w:color="auto"/>
            <w:left w:val="none" w:sz="0" w:space="0" w:color="auto"/>
            <w:bottom w:val="none" w:sz="0" w:space="0" w:color="auto"/>
            <w:right w:val="none" w:sz="0" w:space="0" w:color="auto"/>
          </w:divBdr>
        </w:div>
      </w:divsChild>
    </w:div>
    <w:div w:id="490878715">
      <w:bodyDiv w:val="1"/>
      <w:marLeft w:val="0"/>
      <w:marRight w:val="0"/>
      <w:marTop w:val="0"/>
      <w:marBottom w:val="0"/>
      <w:divBdr>
        <w:top w:val="none" w:sz="0" w:space="0" w:color="auto"/>
        <w:left w:val="none" w:sz="0" w:space="0" w:color="auto"/>
        <w:bottom w:val="none" w:sz="0" w:space="0" w:color="auto"/>
        <w:right w:val="none" w:sz="0" w:space="0" w:color="auto"/>
      </w:divBdr>
    </w:div>
    <w:div w:id="527135062">
      <w:bodyDiv w:val="1"/>
      <w:marLeft w:val="0"/>
      <w:marRight w:val="0"/>
      <w:marTop w:val="0"/>
      <w:marBottom w:val="0"/>
      <w:divBdr>
        <w:top w:val="none" w:sz="0" w:space="0" w:color="auto"/>
        <w:left w:val="none" w:sz="0" w:space="0" w:color="auto"/>
        <w:bottom w:val="none" w:sz="0" w:space="0" w:color="auto"/>
        <w:right w:val="none" w:sz="0" w:space="0" w:color="auto"/>
      </w:divBdr>
    </w:div>
    <w:div w:id="594748937">
      <w:bodyDiv w:val="1"/>
      <w:marLeft w:val="0"/>
      <w:marRight w:val="0"/>
      <w:marTop w:val="0"/>
      <w:marBottom w:val="0"/>
      <w:divBdr>
        <w:top w:val="none" w:sz="0" w:space="0" w:color="auto"/>
        <w:left w:val="none" w:sz="0" w:space="0" w:color="auto"/>
        <w:bottom w:val="none" w:sz="0" w:space="0" w:color="auto"/>
        <w:right w:val="none" w:sz="0" w:space="0" w:color="auto"/>
      </w:divBdr>
      <w:divsChild>
        <w:div w:id="2123383174">
          <w:marLeft w:val="720"/>
          <w:marRight w:val="0"/>
          <w:marTop w:val="200"/>
          <w:marBottom w:val="0"/>
          <w:divBdr>
            <w:top w:val="none" w:sz="0" w:space="0" w:color="auto"/>
            <w:left w:val="none" w:sz="0" w:space="0" w:color="auto"/>
            <w:bottom w:val="none" w:sz="0" w:space="0" w:color="auto"/>
            <w:right w:val="none" w:sz="0" w:space="0" w:color="auto"/>
          </w:divBdr>
        </w:div>
        <w:div w:id="566768821">
          <w:marLeft w:val="720"/>
          <w:marRight w:val="0"/>
          <w:marTop w:val="200"/>
          <w:marBottom w:val="0"/>
          <w:divBdr>
            <w:top w:val="none" w:sz="0" w:space="0" w:color="auto"/>
            <w:left w:val="none" w:sz="0" w:space="0" w:color="auto"/>
            <w:bottom w:val="none" w:sz="0" w:space="0" w:color="auto"/>
            <w:right w:val="none" w:sz="0" w:space="0" w:color="auto"/>
          </w:divBdr>
        </w:div>
      </w:divsChild>
    </w:div>
    <w:div w:id="682434316">
      <w:bodyDiv w:val="1"/>
      <w:marLeft w:val="0"/>
      <w:marRight w:val="0"/>
      <w:marTop w:val="0"/>
      <w:marBottom w:val="0"/>
      <w:divBdr>
        <w:top w:val="none" w:sz="0" w:space="0" w:color="auto"/>
        <w:left w:val="none" w:sz="0" w:space="0" w:color="auto"/>
        <w:bottom w:val="none" w:sz="0" w:space="0" w:color="auto"/>
        <w:right w:val="none" w:sz="0" w:space="0" w:color="auto"/>
      </w:divBdr>
    </w:div>
    <w:div w:id="915482525">
      <w:bodyDiv w:val="1"/>
      <w:marLeft w:val="0"/>
      <w:marRight w:val="0"/>
      <w:marTop w:val="0"/>
      <w:marBottom w:val="0"/>
      <w:divBdr>
        <w:top w:val="none" w:sz="0" w:space="0" w:color="auto"/>
        <w:left w:val="none" w:sz="0" w:space="0" w:color="auto"/>
        <w:bottom w:val="none" w:sz="0" w:space="0" w:color="auto"/>
        <w:right w:val="none" w:sz="0" w:space="0" w:color="auto"/>
      </w:divBdr>
      <w:divsChild>
        <w:div w:id="945967183">
          <w:marLeft w:val="446"/>
          <w:marRight w:val="0"/>
          <w:marTop w:val="96"/>
          <w:marBottom w:val="120"/>
          <w:divBdr>
            <w:top w:val="none" w:sz="0" w:space="0" w:color="auto"/>
            <w:left w:val="none" w:sz="0" w:space="0" w:color="auto"/>
            <w:bottom w:val="none" w:sz="0" w:space="0" w:color="auto"/>
            <w:right w:val="none" w:sz="0" w:space="0" w:color="auto"/>
          </w:divBdr>
        </w:div>
        <w:div w:id="1123815621">
          <w:marLeft w:val="446"/>
          <w:marRight w:val="0"/>
          <w:marTop w:val="96"/>
          <w:marBottom w:val="120"/>
          <w:divBdr>
            <w:top w:val="none" w:sz="0" w:space="0" w:color="auto"/>
            <w:left w:val="none" w:sz="0" w:space="0" w:color="auto"/>
            <w:bottom w:val="none" w:sz="0" w:space="0" w:color="auto"/>
            <w:right w:val="none" w:sz="0" w:space="0" w:color="auto"/>
          </w:divBdr>
        </w:div>
        <w:div w:id="552159612">
          <w:marLeft w:val="446"/>
          <w:marRight w:val="0"/>
          <w:marTop w:val="96"/>
          <w:marBottom w:val="120"/>
          <w:divBdr>
            <w:top w:val="none" w:sz="0" w:space="0" w:color="auto"/>
            <w:left w:val="none" w:sz="0" w:space="0" w:color="auto"/>
            <w:bottom w:val="none" w:sz="0" w:space="0" w:color="auto"/>
            <w:right w:val="none" w:sz="0" w:space="0" w:color="auto"/>
          </w:divBdr>
        </w:div>
      </w:divsChild>
    </w:div>
    <w:div w:id="925071162">
      <w:bodyDiv w:val="1"/>
      <w:marLeft w:val="0"/>
      <w:marRight w:val="0"/>
      <w:marTop w:val="0"/>
      <w:marBottom w:val="0"/>
      <w:divBdr>
        <w:top w:val="none" w:sz="0" w:space="0" w:color="auto"/>
        <w:left w:val="none" w:sz="0" w:space="0" w:color="auto"/>
        <w:bottom w:val="none" w:sz="0" w:space="0" w:color="auto"/>
        <w:right w:val="none" w:sz="0" w:space="0" w:color="auto"/>
      </w:divBdr>
    </w:div>
    <w:div w:id="1388917461">
      <w:bodyDiv w:val="1"/>
      <w:marLeft w:val="0"/>
      <w:marRight w:val="0"/>
      <w:marTop w:val="0"/>
      <w:marBottom w:val="0"/>
      <w:divBdr>
        <w:top w:val="none" w:sz="0" w:space="0" w:color="auto"/>
        <w:left w:val="none" w:sz="0" w:space="0" w:color="auto"/>
        <w:bottom w:val="none" w:sz="0" w:space="0" w:color="auto"/>
        <w:right w:val="none" w:sz="0" w:space="0" w:color="auto"/>
      </w:divBdr>
    </w:div>
    <w:div w:id="1474758677">
      <w:bodyDiv w:val="1"/>
      <w:marLeft w:val="0"/>
      <w:marRight w:val="0"/>
      <w:marTop w:val="0"/>
      <w:marBottom w:val="0"/>
      <w:divBdr>
        <w:top w:val="none" w:sz="0" w:space="0" w:color="auto"/>
        <w:left w:val="none" w:sz="0" w:space="0" w:color="auto"/>
        <w:bottom w:val="none" w:sz="0" w:space="0" w:color="auto"/>
        <w:right w:val="none" w:sz="0" w:space="0" w:color="auto"/>
      </w:divBdr>
    </w:div>
    <w:div w:id="1523712380">
      <w:bodyDiv w:val="1"/>
      <w:marLeft w:val="0"/>
      <w:marRight w:val="0"/>
      <w:marTop w:val="0"/>
      <w:marBottom w:val="0"/>
      <w:divBdr>
        <w:top w:val="none" w:sz="0" w:space="0" w:color="auto"/>
        <w:left w:val="none" w:sz="0" w:space="0" w:color="auto"/>
        <w:bottom w:val="none" w:sz="0" w:space="0" w:color="auto"/>
        <w:right w:val="none" w:sz="0" w:space="0" w:color="auto"/>
      </w:divBdr>
    </w:div>
    <w:div w:id="1629971818">
      <w:bodyDiv w:val="1"/>
      <w:marLeft w:val="0"/>
      <w:marRight w:val="0"/>
      <w:marTop w:val="0"/>
      <w:marBottom w:val="0"/>
      <w:divBdr>
        <w:top w:val="none" w:sz="0" w:space="0" w:color="auto"/>
        <w:left w:val="none" w:sz="0" w:space="0" w:color="auto"/>
        <w:bottom w:val="none" w:sz="0" w:space="0" w:color="auto"/>
        <w:right w:val="none" w:sz="0" w:space="0" w:color="auto"/>
      </w:divBdr>
    </w:div>
    <w:div w:id="17848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unscp@live.it" TargetMode="External"/><Relationship Id="rId1" Type="http://schemas.openxmlformats.org/officeDocument/2006/relationships/hyperlink" Target="http://www.segretarientilocali.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nato.it/application/xmanager/projects/leg19/attachments/documento_evento_procedura_commissione/files/000/425/785/Unione_nazionale_segretari_comunali_e_provinciali_UNSCP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68F4A-D94E-4F0F-A547-90CF071D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Amedeo Scarsella</cp:lastModifiedBy>
  <cp:revision>93</cp:revision>
  <cp:lastPrinted>2019-04-08T12:50:00Z</cp:lastPrinted>
  <dcterms:created xsi:type="dcterms:W3CDTF">2023-05-06T06:16:00Z</dcterms:created>
  <dcterms:modified xsi:type="dcterms:W3CDTF">2023-05-09T06:13:00Z</dcterms:modified>
</cp:coreProperties>
</file>