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911284" w14:textId="77777777" w:rsidR="00073DD2" w:rsidRPr="002A3647" w:rsidRDefault="00073DD2" w:rsidP="007E48B9">
      <w:pPr>
        <w:spacing w:line="360" w:lineRule="auto"/>
        <w:ind w:firstLine="142"/>
        <w:jc w:val="center"/>
        <w:rPr>
          <w:rFonts w:ascii="Times New Roman" w:hAnsi="Times New Roman" w:cs="Times New Roman"/>
          <w:i/>
          <w:iCs/>
        </w:rPr>
      </w:pPr>
    </w:p>
    <w:p w14:paraId="2320EC7E" w14:textId="04F2F3A7" w:rsidR="00714D91" w:rsidRPr="002A3647" w:rsidRDefault="007E48B9" w:rsidP="00714D91">
      <w:pPr>
        <w:spacing w:line="360" w:lineRule="auto"/>
        <w:ind w:firstLine="142"/>
        <w:jc w:val="center"/>
        <w:rPr>
          <w:rFonts w:ascii="Times New Roman" w:hAnsi="Times New Roman" w:cs="Times New Roman"/>
        </w:rPr>
      </w:pPr>
      <w:r w:rsidRPr="002A3647">
        <w:rPr>
          <w:rFonts w:ascii="Times New Roman" w:hAnsi="Times New Roman" w:cs="Times New Roman"/>
        </w:rPr>
        <w:t>Marco Ruotolo</w:t>
      </w:r>
      <w:r w:rsidR="00714D91" w:rsidRPr="002A3647">
        <w:rPr>
          <w:rStyle w:val="Rimandonotaapidipagina"/>
          <w:rFonts w:ascii="Times New Roman" w:hAnsi="Times New Roman" w:cs="Times New Roman"/>
        </w:rPr>
        <w:footnoteReference w:customMarkFollows="1" w:id="1"/>
        <w:sym w:font="Symbol" w:char="F02A"/>
      </w:r>
    </w:p>
    <w:p w14:paraId="05FD0083" w14:textId="366BB2E8" w:rsidR="007E48B9" w:rsidRPr="002A3647" w:rsidRDefault="007E48B9" w:rsidP="007E48B9">
      <w:pPr>
        <w:spacing w:line="360" w:lineRule="auto"/>
        <w:ind w:firstLine="142"/>
        <w:jc w:val="center"/>
        <w:rPr>
          <w:rFonts w:ascii="Times New Roman" w:hAnsi="Times New Roman" w:cs="Times New Roman"/>
          <w:i/>
          <w:iCs/>
        </w:rPr>
      </w:pPr>
      <w:r w:rsidRPr="002A3647">
        <w:rPr>
          <w:rFonts w:ascii="Times New Roman" w:hAnsi="Times New Roman" w:cs="Times New Roman"/>
          <w:i/>
          <w:iCs/>
        </w:rPr>
        <w:t>Sulla “confluenza” dei contenuti di un decreto-legge nella legge di conversione di altro decreto-legge</w:t>
      </w:r>
    </w:p>
    <w:p w14:paraId="65D200FA" w14:textId="166343F7" w:rsidR="007E48B9" w:rsidRPr="002A3647" w:rsidRDefault="007E48B9" w:rsidP="007E48B9">
      <w:pPr>
        <w:spacing w:line="360" w:lineRule="auto"/>
        <w:ind w:firstLine="142"/>
        <w:jc w:val="center"/>
        <w:rPr>
          <w:rFonts w:ascii="Times New Roman" w:hAnsi="Times New Roman" w:cs="Times New Roman"/>
        </w:rPr>
      </w:pPr>
      <w:r w:rsidRPr="002A3647">
        <w:rPr>
          <w:rFonts w:ascii="Times New Roman" w:hAnsi="Times New Roman" w:cs="Times New Roman"/>
        </w:rPr>
        <w:t>Audizione presso la Commissione Affari costituzionali della Camera dei Deputati</w:t>
      </w:r>
    </w:p>
    <w:p w14:paraId="3783CF9D" w14:textId="7BD973EB" w:rsidR="007E48B9" w:rsidRPr="002A3647" w:rsidRDefault="007E48B9" w:rsidP="007E48B9">
      <w:pPr>
        <w:spacing w:line="360" w:lineRule="auto"/>
        <w:ind w:firstLine="142"/>
        <w:jc w:val="center"/>
        <w:rPr>
          <w:rFonts w:ascii="Times New Roman" w:hAnsi="Times New Roman" w:cs="Times New Roman"/>
        </w:rPr>
      </w:pPr>
      <w:r w:rsidRPr="002A3647">
        <w:rPr>
          <w:rFonts w:ascii="Times New Roman" w:hAnsi="Times New Roman" w:cs="Times New Roman"/>
        </w:rPr>
        <w:t>Roma, 5 novembre 2024</w:t>
      </w:r>
    </w:p>
    <w:p w14:paraId="3722CE5B" w14:textId="77777777" w:rsidR="007E48B9" w:rsidRPr="002A3647" w:rsidRDefault="007E48B9" w:rsidP="007E48B9">
      <w:pPr>
        <w:spacing w:line="360" w:lineRule="auto"/>
        <w:ind w:firstLine="142"/>
        <w:jc w:val="center"/>
        <w:rPr>
          <w:rFonts w:ascii="Times New Roman" w:hAnsi="Times New Roman" w:cs="Times New Roman"/>
        </w:rPr>
      </w:pPr>
    </w:p>
    <w:p w14:paraId="1231F1E5" w14:textId="0CF03975" w:rsidR="007E48B9" w:rsidRPr="002A3647" w:rsidRDefault="00FA5FFC" w:rsidP="00FA5FFC">
      <w:pPr>
        <w:pStyle w:val="Paragrafoelenco"/>
        <w:numPr>
          <w:ilvl w:val="0"/>
          <w:numId w:val="1"/>
        </w:numPr>
        <w:spacing w:line="360" w:lineRule="auto"/>
        <w:ind w:left="0" w:firstLine="142"/>
        <w:jc w:val="both"/>
        <w:rPr>
          <w:rFonts w:ascii="Times New Roman" w:hAnsi="Times New Roman" w:cs="Times New Roman"/>
        </w:rPr>
      </w:pPr>
      <w:r>
        <w:rPr>
          <w:rFonts w:ascii="Times New Roman" w:hAnsi="Times New Roman" w:cs="Times New Roman"/>
        </w:rPr>
        <w:t xml:space="preserve">Con apposito emendamento (12.09), il Governo intende </w:t>
      </w:r>
      <w:r w:rsidR="006D6721" w:rsidRPr="002A3647">
        <w:rPr>
          <w:rFonts w:ascii="Times New Roman" w:hAnsi="Times New Roman" w:cs="Times New Roman"/>
        </w:rPr>
        <w:t xml:space="preserve">far “confluire” i contenuti del </w:t>
      </w:r>
      <w:r w:rsidR="00D454CF">
        <w:rPr>
          <w:rFonts w:ascii="Times New Roman" w:hAnsi="Times New Roman" w:cs="Times New Roman"/>
        </w:rPr>
        <w:t>decreto-legge</w:t>
      </w:r>
      <w:r w:rsidR="00585C8D" w:rsidRPr="002A3647">
        <w:rPr>
          <w:rFonts w:ascii="Times New Roman" w:hAnsi="Times New Roman" w:cs="Times New Roman"/>
        </w:rPr>
        <w:t xml:space="preserve"> 23 ottobre 2024,</w:t>
      </w:r>
      <w:r w:rsidR="006D6721" w:rsidRPr="002A3647">
        <w:rPr>
          <w:rFonts w:ascii="Times New Roman" w:hAnsi="Times New Roman" w:cs="Times New Roman"/>
        </w:rPr>
        <w:t xml:space="preserve"> </w:t>
      </w:r>
      <w:r w:rsidR="00303D09" w:rsidRPr="002A3647">
        <w:rPr>
          <w:rFonts w:ascii="Times New Roman" w:hAnsi="Times New Roman" w:cs="Times New Roman"/>
        </w:rPr>
        <w:t xml:space="preserve">n. </w:t>
      </w:r>
      <w:r w:rsidR="006D6721" w:rsidRPr="002A3647">
        <w:rPr>
          <w:rFonts w:ascii="Times New Roman" w:hAnsi="Times New Roman" w:cs="Times New Roman"/>
        </w:rPr>
        <w:t>158 (c.d. decreto Paesi sicuri) nel d</w:t>
      </w:r>
      <w:r w:rsidR="00D454CF">
        <w:rPr>
          <w:rFonts w:ascii="Times New Roman" w:hAnsi="Times New Roman" w:cs="Times New Roman"/>
        </w:rPr>
        <w:t xml:space="preserve">isegno di legge </w:t>
      </w:r>
      <w:r w:rsidR="006D6721" w:rsidRPr="002A3647">
        <w:rPr>
          <w:rFonts w:ascii="Times New Roman" w:hAnsi="Times New Roman" w:cs="Times New Roman"/>
        </w:rPr>
        <w:t>di conversione</w:t>
      </w:r>
      <w:r w:rsidR="00585C8D" w:rsidRPr="002A3647">
        <w:rPr>
          <w:rFonts w:ascii="Times New Roman" w:hAnsi="Times New Roman" w:cs="Times New Roman"/>
        </w:rPr>
        <w:t xml:space="preserve"> </w:t>
      </w:r>
      <w:r w:rsidR="006D6721" w:rsidRPr="002A3647">
        <w:rPr>
          <w:rFonts w:ascii="Times New Roman" w:hAnsi="Times New Roman" w:cs="Times New Roman"/>
        </w:rPr>
        <w:t>del d</w:t>
      </w:r>
      <w:r w:rsidR="00D454CF">
        <w:rPr>
          <w:rFonts w:ascii="Times New Roman" w:hAnsi="Times New Roman" w:cs="Times New Roman"/>
        </w:rPr>
        <w:t>ecreto-legge</w:t>
      </w:r>
      <w:r w:rsidR="006D6721" w:rsidRPr="002A3647">
        <w:rPr>
          <w:rFonts w:ascii="Times New Roman" w:hAnsi="Times New Roman" w:cs="Times New Roman"/>
        </w:rPr>
        <w:t xml:space="preserve"> </w:t>
      </w:r>
      <w:r w:rsidR="00585C8D" w:rsidRPr="002A3647">
        <w:rPr>
          <w:rFonts w:ascii="Times New Roman" w:hAnsi="Times New Roman" w:cs="Times New Roman"/>
        </w:rPr>
        <w:t xml:space="preserve">11 ottobre 2024, </w:t>
      </w:r>
      <w:r w:rsidR="00303D09" w:rsidRPr="002A3647">
        <w:rPr>
          <w:rFonts w:ascii="Times New Roman" w:hAnsi="Times New Roman" w:cs="Times New Roman"/>
        </w:rPr>
        <w:t xml:space="preserve">n. </w:t>
      </w:r>
      <w:r w:rsidR="006D6721" w:rsidRPr="002A3647">
        <w:rPr>
          <w:rFonts w:ascii="Times New Roman" w:hAnsi="Times New Roman" w:cs="Times New Roman"/>
        </w:rPr>
        <w:t>145</w:t>
      </w:r>
      <w:r w:rsidR="006A4398">
        <w:rPr>
          <w:rFonts w:ascii="Times New Roman" w:hAnsi="Times New Roman" w:cs="Times New Roman"/>
        </w:rPr>
        <w:t xml:space="preserve">, </w:t>
      </w:r>
      <w:r w:rsidR="00303D09" w:rsidRPr="002A3647">
        <w:rPr>
          <w:rFonts w:ascii="Times New Roman" w:hAnsi="Times New Roman" w:cs="Times New Roman"/>
        </w:rPr>
        <w:t>riguardante, tra l’altro, le procedure per la gestione dei flussi migratori</w:t>
      </w:r>
      <w:r w:rsidR="006A4398">
        <w:rPr>
          <w:rFonts w:ascii="Times New Roman" w:hAnsi="Times New Roman" w:cs="Times New Roman"/>
        </w:rPr>
        <w:t xml:space="preserve"> (A.C. 2088</w:t>
      </w:r>
      <w:r w:rsidR="00303D09" w:rsidRPr="002A3647">
        <w:rPr>
          <w:rFonts w:ascii="Times New Roman" w:hAnsi="Times New Roman" w:cs="Times New Roman"/>
        </w:rPr>
        <w:t>)</w:t>
      </w:r>
      <w:r w:rsidR="00D454CF">
        <w:rPr>
          <w:rFonts w:ascii="Times New Roman" w:hAnsi="Times New Roman" w:cs="Times New Roman"/>
        </w:rPr>
        <w:t>.</w:t>
      </w:r>
    </w:p>
    <w:p w14:paraId="1CBFAA68" w14:textId="61C64253" w:rsidR="00303D09" w:rsidRPr="002A3647" w:rsidRDefault="00303D09" w:rsidP="007E48B9">
      <w:pPr>
        <w:spacing w:line="360" w:lineRule="auto"/>
        <w:ind w:firstLine="142"/>
        <w:jc w:val="both"/>
        <w:rPr>
          <w:rFonts w:ascii="Times New Roman" w:hAnsi="Times New Roman" w:cs="Times New Roman"/>
        </w:rPr>
      </w:pPr>
      <w:r w:rsidRPr="002A3647">
        <w:rPr>
          <w:rFonts w:ascii="Times New Roman" w:hAnsi="Times New Roman" w:cs="Times New Roman"/>
        </w:rPr>
        <w:t xml:space="preserve">La mia attenzione sarà esclusivamente rivolta alla questione della “confluenza”, senza incursioni </w:t>
      </w:r>
      <w:r w:rsidR="006D23F4">
        <w:rPr>
          <w:rFonts w:ascii="Times New Roman" w:hAnsi="Times New Roman" w:cs="Times New Roman"/>
        </w:rPr>
        <w:t>sugli aspetti inerenti la</w:t>
      </w:r>
      <w:r w:rsidRPr="002A3647">
        <w:rPr>
          <w:rFonts w:ascii="Times New Roman" w:hAnsi="Times New Roman" w:cs="Times New Roman"/>
        </w:rPr>
        <w:t xml:space="preserve"> compatibilità dei contenuti del d</w:t>
      </w:r>
      <w:r w:rsidR="00D454CF">
        <w:rPr>
          <w:rFonts w:ascii="Times New Roman" w:hAnsi="Times New Roman" w:cs="Times New Roman"/>
        </w:rPr>
        <w:t>ecreto-legge n.</w:t>
      </w:r>
      <w:r w:rsidRPr="002A3647">
        <w:rPr>
          <w:rFonts w:ascii="Times New Roman" w:hAnsi="Times New Roman" w:cs="Times New Roman"/>
        </w:rPr>
        <w:t xml:space="preserve"> 158 del 2024 con il diritto dell’Unione europea, sulla portata della direttiva 2013/32/UE e sulle implicazioni derivanti dalla decisione della Corte di Giustizia del 4 ottobre 2024, anche perché, com’ è noto, su questi aspetti sono stati richiesti chiarimenti interpretativi proprio alla Corte di Giustizia mediante sollevazione di questione pregiudiziale ad opera del Tribunale di Bologna (rinvio del 25 ottobre 2024). </w:t>
      </w:r>
    </w:p>
    <w:p w14:paraId="5DE1FE52" w14:textId="77777777" w:rsidR="00FA5FFC" w:rsidRDefault="00FA5FFC" w:rsidP="007E48B9">
      <w:pPr>
        <w:spacing w:line="360" w:lineRule="auto"/>
        <w:ind w:firstLine="142"/>
        <w:jc w:val="both"/>
        <w:rPr>
          <w:rFonts w:ascii="Times New Roman" w:hAnsi="Times New Roman" w:cs="Times New Roman"/>
        </w:rPr>
      </w:pPr>
      <w:r>
        <w:rPr>
          <w:rFonts w:ascii="Times New Roman" w:hAnsi="Times New Roman" w:cs="Times New Roman"/>
        </w:rPr>
        <w:t>La</w:t>
      </w:r>
      <w:r w:rsidR="006D6721" w:rsidRPr="002A3647">
        <w:rPr>
          <w:rFonts w:ascii="Times New Roman" w:hAnsi="Times New Roman" w:cs="Times New Roman"/>
        </w:rPr>
        <w:t xml:space="preserve"> “prassi” </w:t>
      </w:r>
      <w:r>
        <w:rPr>
          <w:rFonts w:ascii="Times New Roman" w:hAnsi="Times New Roman" w:cs="Times New Roman"/>
        </w:rPr>
        <w:t>della “confluenza”</w:t>
      </w:r>
      <w:r w:rsidR="006D6721" w:rsidRPr="002A3647">
        <w:rPr>
          <w:rFonts w:ascii="Times New Roman" w:hAnsi="Times New Roman" w:cs="Times New Roman"/>
        </w:rPr>
        <w:t xml:space="preserve">, dopo alcuni sporadici impieghi, ha trovato crescente applicazione non solo per affrontare situazioni ritenute emergenziali, ma anche per la mera attuazione del programma di governo. Essa si lega, almeno in parte, al crescente impiego della decretazione d’urgenza e alla conseguente difficoltà del Parlamento nella tempestiva conversione dei decreti, il cui esame occupa prepotentemente la relativa agenda. Al punto che la seconda Camera che interviene nel processo di conversione </w:t>
      </w:r>
      <w:r w:rsidR="00275A9C" w:rsidRPr="002A3647">
        <w:rPr>
          <w:rFonts w:ascii="Times New Roman" w:hAnsi="Times New Roman" w:cs="Times New Roman"/>
        </w:rPr>
        <w:t xml:space="preserve">troppo spesso </w:t>
      </w:r>
      <w:r w:rsidR="006D6721" w:rsidRPr="002A3647">
        <w:rPr>
          <w:rFonts w:ascii="Times New Roman" w:hAnsi="Times New Roman" w:cs="Times New Roman"/>
        </w:rPr>
        <w:t xml:space="preserve">non può che limitarsi a ratificare le determinazioni assunte dall’altro ramo del Parlamento, se vuole evitare la decadenza del </w:t>
      </w:r>
      <w:r w:rsidR="00A774F9" w:rsidRPr="002A3647">
        <w:rPr>
          <w:rFonts w:ascii="Times New Roman" w:hAnsi="Times New Roman" w:cs="Times New Roman"/>
        </w:rPr>
        <w:t>decreto-legge</w:t>
      </w:r>
      <w:r w:rsidR="006D6721" w:rsidRPr="002A3647">
        <w:rPr>
          <w:rFonts w:ascii="Times New Roman" w:hAnsi="Times New Roman" w:cs="Times New Roman"/>
        </w:rPr>
        <w:t xml:space="preserve">. </w:t>
      </w:r>
    </w:p>
    <w:p w14:paraId="4126E360" w14:textId="4D52C454" w:rsidR="00FA5FFC" w:rsidRDefault="006D6721" w:rsidP="007E48B9">
      <w:pPr>
        <w:spacing w:line="360" w:lineRule="auto"/>
        <w:ind w:firstLine="142"/>
        <w:jc w:val="both"/>
        <w:rPr>
          <w:rFonts w:ascii="Times New Roman" w:hAnsi="Times New Roman" w:cs="Times New Roman"/>
        </w:rPr>
      </w:pPr>
      <w:r w:rsidRPr="002A3647">
        <w:rPr>
          <w:rFonts w:ascii="Times New Roman" w:hAnsi="Times New Roman" w:cs="Times New Roman"/>
        </w:rPr>
        <w:t>Si è fatta strada</w:t>
      </w:r>
      <w:r w:rsidR="00303D09" w:rsidRPr="002A3647">
        <w:rPr>
          <w:rFonts w:ascii="Times New Roman" w:hAnsi="Times New Roman" w:cs="Times New Roman"/>
        </w:rPr>
        <w:t>, così,</w:t>
      </w:r>
      <w:r w:rsidRPr="002A3647">
        <w:rPr>
          <w:rFonts w:ascii="Times New Roman" w:hAnsi="Times New Roman" w:cs="Times New Roman"/>
        </w:rPr>
        <w:t xml:space="preserve"> la “prassi” di abrogare e contestualmente “assorbire” in altra legge</w:t>
      </w:r>
      <w:r w:rsidR="00303D09" w:rsidRPr="002A3647">
        <w:rPr>
          <w:rFonts w:ascii="Times New Roman" w:hAnsi="Times New Roman" w:cs="Times New Roman"/>
        </w:rPr>
        <w:t>,</w:t>
      </w:r>
      <w:r w:rsidRPr="002A3647">
        <w:rPr>
          <w:rFonts w:ascii="Times New Roman" w:hAnsi="Times New Roman" w:cs="Times New Roman"/>
        </w:rPr>
        <w:t xml:space="preserve"> già all’esame del Parlamento</w:t>
      </w:r>
      <w:r w:rsidR="00303D09" w:rsidRPr="002A3647">
        <w:rPr>
          <w:rFonts w:ascii="Times New Roman" w:hAnsi="Times New Roman" w:cs="Times New Roman"/>
        </w:rPr>
        <w:t>,</w:t>
      </w:r>
      <w:r w:rsidRPr="002A3647">
        <w:rPr>
          <w:rFonts w:ascii="Times New Roman" w:hAnsi="Times New Roman" w:cs="Times New Roman"/>
        </w:rPr>
        <w:t xml:space="preserve"> decreti-legge che con essa avessero un collegamento contenutistico o finalistico. Tale “confluenza”</w:t>
      </w:r>
      <w:r w:rsidR="006D23F4">
        <w:rPr>
          <w:rFonts w:ascii="Times New Roman" w:hAnsi="Times New Roman" w:cs="Times New Roman"/>
        </w:rPr>
        <w:t>, oltre a poter</w:t>
      </w:r>
      <w:r w:rsidRPr="002A3647">
        <w:rPr>
          <w:rFonts w:ascii="Times New Roman" w:hAnsi="Times New Roman" w:cs="Times New Roman"/>
        </w:rPr>
        <w:t xml:space="preserve"> incide</w:t>
      </w:r>
      <w:r w:rsidR="006D23F4">
        <w:rPr>
          <w:rFonts w:ascii="Times New Roman" w:hAnsi="Times New Roman" w:cs="Times New Roman"/>
        </w:rPr>
        <w:t>re</w:t>
      </w:r>
      <w:r w:rsidRPr="002A3647">
        <w:rPr>
          <w:rFonts w:ascii="Times New Roman" w:hAnsi="Times New Roman" w:cs="Times New Roman"/>
        </w:rPr>
        <w:t xml:space="preserve"> sulla </w:t>
      </w:r>
      <w:r w:rsidR="00050FA8">
        <w:rPr>
          <w:rFonts w:ascii="Times New Roman" w:hAnsi="Times New Roman" w:cs="Times New Roman"/>
        </w:rPr>
        <w:t>inte</w:t>
      </w:r>
      <w:r w:rsidRPr="002A3647">
        <w:rPr>
          <w:rFonts w:ascii="Times New Roman" w:hAnsi="Times New Roman" w:cs="Times New Roman"/>
        </w:rPr>
        <w:t>l</w:t>
      </w:r>
      <w:r w:rsidR="00050FA8">
        <w:rPr>
          <w:rFonts w:ascii="Times New Roman" w:hAnsi="Times New Roman" w:cs="Times New Roman"/>
        </w:rPr>
        <w:t>le</w:t>
      </w:r>
      <w:r w:rsidRPr="002A3647">
        <w:rPr>
          <w:rFonts w:ascii="Times New Roman" w:hAnsi="Times New Roman" w:cs="Times New Roman"/>
        </w:rPr>
        <w:t>gibilità del prodotto normativo, destinato a divenire più corposo e complesso, riduce significativamente il tempo a disposizione del Parlamento per l’esame dei contenuti</w:t>
      </w:r>
      <w:r w:rsidR="004801E7" w:rsidRPr="002A3647">
        <w:rPr>
          <w:rFonts w:ascii="Times New Roman" w:hAnsi="Times New Roman" w:cs="Times New Roman"/>
        </w:rPr>
        <w:t xml:space="preserve">. È evidente, infatti, che con la “confluenza” si </w:t>
      </w:r>
      <w:r w:rsidR="006D23F4">
        <w:rPr>
          <w:rFonts w:ascii="Times New Roman" w:hAnsi="Times New Roman" w:cs="Times New Roman"/>
        </w:rPr>
        <w:t>comprime</w:t>
      </w:r>
      <w:r w:rsidR="004801E7" w:rsidRPr="002A3647">
        <w:rPr>
          <w:rFonts w:ascii="Times New Roman" w:hAnsi="Times New Roman" w:cs="Times New Roman"/>
        </w:rPr>
        <w:t xml:space="preserve">, di fatto, il termine di sessanta giorni che l’art. 77 riconosce alle Camere per la conversione, superato il quale si determina il fenomeno della decadenza. Peraltro, tale riduzione rende praticamente obbligata la strada già indicata che vede protagonista della discussione e della votazione il solo ramo del Parlamento in cui è presentato il </w:t>
      </w:r>
      <w:r w:rsidR="00D454CF">
        <w:rPr>
          <w:rFonts w:ascii="Times New Roman" w:hAnsi="Times New Roman" w:cs="Times New Roman"/>
        </w:rPr>
        <w:t>disegno di legge</w:t>
      </w:r>
      <w:r w:rsidR="004801E7" w:rsidRPr="002A3647">
        <w:rPr>
          <w:rFonts w:ascii="Times New Roman" w:hAnsi="Times New Roman" w:cs="Times New Roman"/>
        </w:rPr>
        <w:t xml:space="preserve"> di conversione, essendo l’altro, in ragione d</w:t>
      </w:r>
      <w:r w:rsidR="00520C61" w:rsidRPr="002A3647">
        <w:rPr>
          <w:rFonts w:ascii="Times New Roman" w:hAnsi="Times New Roman" w:cs="Times New Roman"/>
        </w:rPr>
        <w:t>ei</w:t>
      </w:r>
      <w:r w:rsidR="004801E7" w:rsidRPr="002A3647">
        <w:rPr>
          <w:rFonts w:ascii="Times New Roman" w:hAnsi="Times New Roman" w:cs="Times New Roman"/>
        </w:rPr>
        <w:t xml:space="preserve"> tempi, costretto alla ratifica, entro una logica riassunta nella formula del </w:t>
      </w:r>
      <w:r w:rsidR="00427F39" w:rsidRPr="002A3647">
        <w:rPr>
          <w:rFonts w:ascii="Times New Roman" w:hAnsi="Times New Roman" w:cs="Times New Roman"/>
        </w:rPr>
        <w:t>“</w:t>
      </w:r>
      <w:r w:rsidR="004801E7" w:rsidRPr="002A3647">
        <w:rPr>
          <w:rFonts w:ascii="Times New Roman" w:hAnsi="Times New Roman" w:cs="Times New Roman"/>
        </w:rPr>
        <w:t>monocameralismo di fatto</w:t>
      </w:r>
      <w:r w:rsidR="00427F39" w:rsidRPr="002A3647">
        <w:rPr>
          <w:rFonts w:ascii="Times New Roman" w:hAnsi="Times New Roman" w:cs="Times New Roman"/>
        </w:rPr>
        <w:t>”</w:t>
      </w:r>
      <w:r w:rsidR="004801E7" w:rsidRPr="002A3647">
        <w:rPr>
          <w:rFonts w:ascii="Times New Roman" w:hAnsi="Times New Roman" w:cs="Times New Roman"/>
        </w:rPr>
        <w:t xml:space="preserve">. </w:t>
      </w:r>
    </w:p>
    <w:p w14:paraId="0A642E18" w14:textId="2C9BE02C" w:rsidR="009762C2" w:rsidRPr="002A3647" w:rsidRDefault="004801E7" w:rsidP="007E48B9">
      <w:pPr>
        <w:spacing w:line="360" w:lineRule="auto"/>
        <w:ind w:firstLine="142"/>
        <w:jc w:val="both"/>
        <w:rPr>
          <w:rFonts w:ascii="Times New Roman" w:hAnsi="Times New Roman" w:cs="Times New Roman"/>
        </w:rPr>
      </w:pPr>
      <w:r w:rsidRPr="002A3647">
        <w:rPr>
          <w:rFonts w:ascii="Times New Roman" w:hAnsi="Times New Roman" w:cs="Times New Roman"/>
        </w:rPr>
        <w:t xml:space="preserve">Questi elementi sono stati puntualmente rilevati </w:t>
      </w:r>
      <w:r w:rsidR="009762C2" w:rsidRPr="002A3647">
        <w:rPr>
          <w:rFonts w:ascii="Times New Roman" w:hAnsi="Times New Roman" w:cs="Times New Roman"/>
        </w:rPr>
        <w:t>dal</w:t>
      </w:r>
      <w:r w:rsidRPr="002A3647">
        <w:rPr>
          <w:rFonts w:ascii="Times New Roman" w:hAnsi="Times New Roman" w:cs="Times New Roman"/>
        </w:rPr>
        <w:t xml:space="preserve"> Comitato per la legislazione, mettendo in luce quanto </w:t>
      </w:r>
      <w:r w:rsidR="009762C2" w:rsidRPr="002A3647">
        <w:rPr>
          <w:rFonts w:ascii="Times New Roman" w:hAnsi="Times New Roman" w:cs="Times New Roman"/>
        </w:rPr>
        <w:t xml:space="preserve">tale </w:t>
      </w:r>
      <w:r w:rsidRPr="002A3647">
        <w:rPr>
          <w:rFonts w:ascii="Times New Roman" w:hAnsi="Times New Roman" w:cs="Times New Roman"/>
        </w:rPr>
        <w:t>“prassi” incida sull’</w:t>
      </w:r>
      <w:r w:rsidRPr="002A3647">
        <w:rPr>
          <w:rFonts w:ascii="Times New Roman" w:hAnsi="Times New Roman" w:cs="Times New Roman"/>
          <w:i/>
          <w:iCs/>
        </w:rPr>
        <w:t>iter</w:t>
      </w:r>
      <w:r w:rsidRPr="002A3647">
        <w:rPr>
          <w:rFonts w:ascii="Times New Roman" w:hAnsi="Times New Roman" w:cs="Times New Roman"/>
        </w:rPr>
        <w:t xml:space="preserve"> legislativo</w:t>
      </w:r>
      <w:r w:rsidR="009762C2" w:rsidRPr="002A3647">
        <w:rPr>
          <w:rFonts w:ascii="Times New Roman" w:hAnsi="Times New Roman" w:cs="Times New Roman"/>
        </w:rPr>
        <w:t xml:space="preserve">, sin dalla raccomandazione contenuta nel parere sul decreto-legge n. 172 del 2020 del 12 gennaio 2021 nella quale si sottolineava l’esigenza di evitare tale fenomeno. I contenuti della raccomandazione hanno poi formato oggetto di un ordine del giorno, approvato dall’Assemblea ad amplissima maggioranza </w:t>
      </w:r>
      <w:r w:rsidR="006D23F4">
        <w:rPr>
          <w:rFonts w:ascii="Times New Roman" w:hAnsi="Times New Roman" w:cs="Times New Roman"/>
        </w:rPr>
        <w:t>(</w:t>
      </w:r>
      <w:r w:rsidR="009762C2" w:rsidRPr="002A3647">
        <w:rPr>
          <w:rFonts w:ascii="Times New Roman" w:hAnsi="Times New Roman" w:cs="Times New Roman"/>
        </w:rPr>
        <w:t>seduta del 20 gennaio 2021), che impegnava ad evitare la “confluenza” tra diversi decreti-legge, limitando tale fenomeno a «circostanze di assoluta eccezionalità da motivare adeguatamente nel corso dei lavori parlamentari». Nonostante l’impegno sia stato anche successivamente ribadito, lo strumento ha continuato ad essere impiegato senza che il Governo fornisse</w:t>
      </w:r>
      <w:r w:rsidR="00427F39" w:rsidRPr="002A3647">
        <w:rPr>
          <w:rFonts w:ascii="Times New Roman" w:hAnsi="Times New Roman" w:cs="Times New Roman"/>
        </w:rPr>
        <w:t>, nei singoli casi,</w:t>
      </w:r>
      <w:r w:rsidR="009762C2" w:rsidRPr="002A3647">
        <w:rPr>
          <w:rFonts w:ascii="Times New Roman" w:hAnsi="Times New Roman" w:cs="Times New Roman"/>
        </w:rPr>
        <w:t xml:space="preserve"> alcuna motivazione delle ragioni di assoluta eccezionalità alla base della decisione di far confluire un decreto-legge in un altro. </w:t>
      </w:r>
    </w:p>
    <w:p w14:paraId="29E8B436" w14:textId="0CFDE66B" w:rsidR="006B714C" w:rsidRPr="002A3647" w:rsidRDefault="00D467C7" w:rsidP="007E48B9">
      <w:pPr>
        <w:spacing w:line="360" w:lineRule="auto"/>
        <w:ind w:firstLine="142"/>
        <w:jc w:val="both"/>
        <w:rPr>
          <w:rFonts w:ascii="Times New Roman" w:hAnsi="Times New Roman" w:cs="Times New Roman"/>
        </w:rPr>
      </w:pPr>
      <w:r w:rsidRPr="002A3647">
        <w:rPr>
          <w:rFonts w:ascii="Times New Roman" w:hAnsi="Times New Roman" w:cs="Times New Roman"/>
        </w:rPr>
        <w:t>Al riguardo, la Corte costituzionale</w:t>
      </w:r>
      <w:r w:rsidR="00275A9C" w:rsidRPr="002A3647">
        <w:rPr>
          <w:rFonts w:ascii="Times New Roman" w:hAnsi="Times New Roman" w:cs="Times New Roman"/>
        </w:rPr>
        <w:t xml:space="preserve"> – sia pure incidentalmente e senza essere chiamata ad esprimersi su specifici problemi di costituzionalità derivanti da tali prassi – ha </w:t>
      </w:r>
      <w:r w:rsidRPr="002A3647">
        <w:rPr>
          <w:rFonts w:ascii="Times New Roman" w:hAnsi="Times New Roman" w:cs="Times New Roman"/>
        </w:rPr>
        <w:t xml:space="preserve">affermato che la «tecnica normativa» della quale </w:t>
      </w:r>
      <w:r w:rsidR="006D23F4">
        <w:rPr>
          <w:rFonts w:ascii="Times New Roman" w:hAnsi="Times New Roman" w:cs="Times New Roman"/>
        </w:rPr>
        <w:t>si discute</w:t>
      </w:r>
      <w:r w:rsidRPr="002A3647">
        <w:rPr>
          <w:rFonts w:ascii="Times New Roman" w:hAnsi="Times New Roman" w:cs="Times New Roman"/>
        </w:rPr>
        <w:t xml:space="preserve"> «reca pregiudizio alla chiarezza delle leggi e alla intellegibilità dell’ordinamento in conseguenza dell’uso del tutto anomalo della legge di conversione» (sent. n. 58 del 2018)</w:t>
      </w:r>
      <w:r w:rsidR="000E50F0" w:rsidRPr="002A3647">
        <w:rPr>
          <w:rFonts w:ascii="Times New Roman" w:hAnsi="Times New Roman" w:cs="Times New Roman"/>
        </w:rPr>
        <w:t>, con possibili conseguenze anche sul piano della «certezza nell’applicazione concreta della legge (sent. n. 110 del 2023)» (ord. n. 30 del 2024)</w:t>
      </w:r>
      <w:r w:rsidRPr="002A3647">
        <w:rPr>
          <w:rFonts w:ascii="Times New Roman" w:hAnsi="Times New Roman" w:cs="Times New Roman"/>
        </w:rPr>
        <w:t>.</w:t>
      </w:r>
    </w:p>
    <w:p w14:paraId="107B5E3B" w14:textId="77777777" w:rsidR="007E48B9" w:rsidRPr="002A3647" w:rsidRDefault="007E48B9" w:rsidP="007E48B9">
      <w:pPr>
        <w:spacing w:line="360" w:lineRule="auto"/>
        <w:ind w:firstLine="142"/>
        <w:jc w:val="both"/>
        <w:rPr>
          <w:rFonts w:ascii="Times New Roman" w:hAnsi="Times New Roman" w:cs="Times New Roman"/>
        </w:rPr>
      </w:pPr>
    </w:p>
    <w:p w14:paraId="0B16C371" w14:textId="45AF8BEB" w:rsidR="006B714C" w:rsidRPr="002A3647" w:rsidRDefault="00275A9C" w:rsidP="007E48B9">
      <w:pPr>
        <w:pStyle w:val="Paragrafoelenco"/>
        <w:numPr>
          <w:ilvl w:val="0"/>
          <w:numId w:val="1"/>
        </w:numPr>
        <w:spacing w:line="360" w:lineRule="auto"/>
        <w:ind w:left="0" w:firstLine="142"/>
        <w:jc w:val="both"/>
        <w:rPr>
          <w:rFonts w:ascii="Times New Roman" w:hAnsi="Times New Roman" w:cs="Times New Roman"/>
        </w:rPr>
      </w:pPr>
      <w:r w:rsidRPr="002A3647">
        <w:rPr>
          <w:rFonts w:ascii="Times New Roman" w:hAnsi="Times New Roman" w:cs="Times New Roman"/>
        </w:rPr>
        <w:t>Sui punti sopra accennati</w:t>
      </w:r>
      <w:r w:rsidR="006B714C" w:rsidRPr="002A3647">
        <w:rPr>
          <w:rFonts w:ascii="Times New Roman" w:hAnsi="Times New Roman" w:cs="Times New Roman"/>
        </w:rPr>
        <w:t xml:space="preserve"> vorrei soffermare l’attenzione, partendo dalla peculiare natura della legge di conversione per poi porre la centrale questione del ruolo politico e legislativo del Parlamento che, come è stato ribadito in una recente pronuncia, riassuntiva della giurisprudenza precedente, «resta la sede della rappresentanza della Nazione (art. 67 Cost.), in cui le minoranze politiche possono esprimere e promuovere le loro posizioni in un dibattito trasparente (art. 64, secondo comma, Cost.), sotto il controllo dell’opinione pubblica» (sent. n. 146 del 2024). </w:t>
      </w:r>
    </w:p>
    <w:p w14:paraId="41366740" w14:textId="223317B8" w:rsidR="008E06F3" w:rsidRPr="002A3647" w:rsidRDefault="008911F3" w:rsidP="007E48B9">
      <w:pPr>
        <w:spacing w:line="360" w:lineRule="auto"/>
        <w:ind w:firstLine="142"/>
        <w:jc w:val="both"/>
        <w:rPr>
          <w:rFonts w:ascii="Times New Roman" w:hAnsi="Times New Roman" w:cs="Times New Roman"/>
        </w:rPr>
      </w:pPr>
      <w:r w:rsidRPr="002A3647">
        <w:rPr>
          <w:rFonts w:ascii="Times New Roman" w:hAnsi="Times New Roman" w:cs="Times New Roman"/>
        </w:rPr>
        <w:t xml:space="preserve">Proverò ad esaminare </w:t>
      </w:r>
      <w:r w:rsidR="00050FA8">
        <w:rPr>
          <w:rFonts w:ascii="Times New Roman" w:hAnsi="Times New Roman" w:cs="Times New Roman"/>
        </w:rPr>
        <w:t>il fenomeno tenendo</w:t>
      </w:r>
      <w:r w:rsidR="008E06F3" w:rsidRPr="002A3647">
        <w:rPr>
          <w:rFonts w:ascii="Times New Roman" w:hAnsi="Times New Roman" w:cs="Times New Roman"/>
        </w:rPr>
        <w:t xml:space="preserve"> conto delle evoluzioni del sistema politico</w:t>
      </w:r>
      <w:r w:rsidR="00050FA8">
        <w:rPr>
          <w:rFonts w:ascii="Times New Roman" w:hAnsi="Times New Roman" w:cs="Times New Roman"/>
        </w:rPr>
        <w:t xml:space="preserve"> ed evitando</w:t>
      </w:r>
      <w:r w:rsidR="008E06F3" w:rsidRPr="002A3647">
        <w:rPr>
          <w:rFonts w:ascii="Times New Roman" w:hAnsi="Times New Roman" w:cs="Times New Roman"/>
        </w:rPr>
        <w:t xml:space="preserve"> un atteggiamento rigido, che</w:t>
      </w:r>
      <w:r w:rsidR="00050FA8">
        <w:rPr>
          <w:rFonts w:ascii="Times New Roman" w:hAnsi="Times New Roman" w:cs="Times New Roman"/>
        </w:rPr>
        <w:t xml:space="preserve"> forse</w:t>
      </w:r>
      <w:r w:rsidR="008E06F3" w:rsidRPr="002A3647">
        <w:rPr>
          <w:rFonts w:ascii="Times New Roman" w:hAnsi="Times New Roman" w:cs="Times New Roman"/>
        </w:rPr>
        <w:t xml:space="preserve"> mal si conforma alle specificità dell’interpretazione della Costituzione, di un testo che non è insensibile agli sviluppi determinati da prassi, consuetudini e convenzioni tanto più se prodotte dalle istituzioni rappresentative. La rigidità di pensiero non equivale al rigore scientifico ed è quest’ultimo che deve guidare la riflessione sui confini di tollerabilità costituzionale delle prassi oggetto di studio, comprendendo </w:t>
      </w:r>
      <w:r w:rsidR="00303D09" w:rsidRPr="002A3647">
        <w:rPr>
          <w:rFonts w:ascii="Times New Roman" w:hAnsi="Times New Roman" w:cs="Times New Roman"/>
        </w:rPr>
        <w:t>“</w:t>
      </w:r>
      <w:r w:rsidR="008E06F3" w:rsidRPr="002A3647">
        <w:rPr>
          <w:rFonts w:ascii="Times New Roman" w:hAnsi="Times New Roman" w:cs="Times New Roman"/>
        </w:rPr>
        <w:t>ciò che è</w:t>
      </w:r>
      <w:r w:rsidR="00303D09" w:rsidRPr="002A3647">
        <w:rPr>
          <w:rFonts w:ascii="Times New Roman" w:hAnsi="Times New Roman" w:cs="Times New Roman"/>
        </w:rPr>
        <w:t>”</w:t>
      </w:r>
      <w:r w:rsidR="008E06F3" w:rsidRPr="002A3647">
        <w:rPr>
          <w:rFonts w:ascii="Times New Roman" w:hAnsi="Times New Roman" w:cs="Times New Roman"/>
        </w:rPr>
        <w:t xml:space="preserve"> senza per questo necessariamente</w:t>
      </w:r>
      <w:r w:rsidR="00303D09" w:rsidRPr="002A3647">
        <w:rPr>
          <w:rFonts w:ascii="Times New Roman" w:hAnsi="Times New Roman" w:cs="Times New Roman"/>
        </w:rPr>
        <w:t xml:space="preserve"> giustificarlo, abbandonarsi al cinico realismo del “che così sia”</w:t>
      </w:r>
      <w:r w:rsidR="008E06F3" w:rsidRPr="002A3647">
        <w:rPr>
          <w:rFonts w:ascii="Times New Roman" w:hAnsi="Times New Roman" w:cs="Times New Roman"/>
        </w:rPr>
        <w:t>.</w:t>
      </w:r>
    </w:p>
    <w:p w14:paraId="7C8E7DBC" w14:textId="77777777" w:rsidR="008E06F3" w:rsidRPr="002A3647" w:rsidRDefault="008E06F3" w:rsidP="007E48B9">
      <w:pPr>
        <w:spacing w:line="360" w:lineRule="auto"/>
        <w:ind w:firstLine="142"/>
        <w:jc w:val="both"/>
        <w:rPr>
          <w:rFonts w:ascii="Times New Roman" w:hAnsi="Times New Roman" w:cs="Times New Roman"/>
        </w:rPr>
      </w:pPr>
    </w:p>
    <w:p w14:paraId="3AC3E370" w14:textId="51690A2E" w:rsidR="00E8452C" w:rsidRPr="002A3647" w:rsidRDefault="009D3A5E" w:rsidP="007E48B9">
      <w:pPr>
        <w:pStyle w:val="Paragrafoelenco"/>
        <w:numPr>
          <w:ilvl w:val="0"/>
          <w:numId w:val="1"/>
        </w:numPr>
        <w:spacing w:line="360" w:lineRule="auto"/>
        <w:ind w:left="0" w:firstLine="142"/>
        <w:jc w:val="both"/>
        <w:rPr>
          <w:rFonts w:ascii="Times New Roman" w:hAnsi="Times New Roman" w:cs="Times New Roman"/>
        </w:rPr>
      </w:pPr>
      <w:r w:rsidRPr="002A3647">
        <w:rPr>
          <w:rFonts w:ascii="Times New Roman" w:hAnsi="Times New Roman" w:cs="Times New Roman"/>
        </w:rPr>
        <w:t xml:space="preserve">La legge di conversione è ormai riguardata anche dalla giurisprudenza costituzionale quale «fonte funzionalizzata alla stabilizzazione di un provvedimento avente forza di legge, </w:t>
      </w:r>
      <w:r w:rsidR="00E2113D" w:rsidRPr="002A3647">
        <w:rPr>
          <w:rFonts w:ascii="Times New Roman" w:hAnsi="Times New Roman" w:cs="Times New Roman"/>
        </w:rPr>
        <w:t>caratterizzata</w:t>
      </w:r>
      <w:r w:rsidRPr="002A3647">
        <w:rPr>
          <w:rFonts w:ascii="Times New Roman" w:hAnsi="Times New Roman" w:cs="Times New Roman"/>
        </w:rPr>
        <w:t xml:space="preserve"> da un procedimento di approvazione peculiare e </w:t>
      </w:r>
      <w:r w:rsidR="00E2113D" w:rsidRPr="002A3647">
        <w:rPr>
          <w:rFonts w:ascii="Times New Roman" w:hAnsi="Times New Roman" w:cs="Times New Roman"/>
        </w:rPr>
        <w:t>semplificato</w:t>
      </w:r>
      <w:r w:rsidRPr="002A3647">
        <w:rPr>
          <w:rFonts w:ascii="Times New Roman" w:hAnsi="Times New Roman" w:cs="Times New Roman"/>
        </w:rPr>
        <w:t xml:space="preserve"> rispetto a</w:t>
      </w:r>
      <w:r w:rsidR="00E2113D" w:rsidRPr="002A3647">
        <w:rPr>
          <w:rFonts w:ascii="Times New Roman" w:hAnsi="Times New Roman" w:cs="Times New Roman"/>
        </w:rPr>
        <w:t xml:space="preserve"> </w:t>
      </w:r>
      <w:r w:rsidRPr="002A3647">
        <w:rPr>
          <w:rFonts w:ascii="Times New Roman" w:hAnsi="Times New Roman" w:cs="Times New Roman"/>
        </w:rPr>
        <w:t xml:space="preserve">quello </w:t>
      </w:r>
      <w:r w:rsidR="00E2113D" w:rsidRPr="002A3647">
        <w:rPr>
          <w:rFonts w:ascii="Times New Roman" w:hAnsi="Times New Roman" w:cs="Times New Roman"/>
        </w:rPr>
        <w:t>ordinario</w:t>
      </w:r>
      <w:r w:rsidR="00520C61" w:rsidRPr="002A3647">
        <w:rPr>
          <w:rFonts w:ascii="Times New Roman" w:hAnsi="Times New Roman" w:cs="Times New Roman"/>
        </w:rPr>
        <w:t>»</w:t>
      </w:r>
      <w:r w:rsidRPr="002A3647">
        <w:rPr>
          <w:rFonts w:ascii="Times New Roman" w:hAnsi="Times New Roman" w:cs="Times New Roman"/>
        </w:rPr>
        <w:t xml:space="preserve"> (sent. n. 22 del 2012</w:t>
      </w:r>
      <w:r w:rsidR="006D23F4">
        <w:rPr>
          <w:rFonts w:ascii="Times New Roman" w:hAnsi="Times New Roman" w:cs="Times New Roman"/>
        </w:rPr>
        <w:t>; riferimenti utili anche nella precedente sent. n. 171 del 2007</w:t>
      </w:r>
      <w:r w:rsidRPr="002A3647">
        <w:rPr>
          <w:rFonts w:ascii="Times New Roman" w:hAnsi="Times New Roman" w:cs="Times New Roman"/>
        </w:rPr>
        <w:t xml:space="preserve">). Essa non </w:t>
      </w:r>
      <w:r w:rsidR="00E2113D" w:rsidRPr="002A3647">
        <w:rPr>
          <w:rFonts w:ascii="Times New Roman" w:hAnsi="Times New Roman" w:cs="Times New Roman"/>
        </w:rPr>
        <w:t>può</w:t>
      </w:r>
      <w:r w:rsidRPr="002A3647">
        <w:rPr>
          <w:rFonts w:ascii="Times New Roman" w:hAnsi="Times New Roman" w:cs="Times New Roman"/>
        </w:rPr>
        <w:t xml:space="preserve"> aprirsi a qualsiasi contenuto ulteriore (sent. n. 186 del 2015), perché il relativo </w:t>
      </w:r>
      <w:r w:rsidRPr="002A3647">
        <w:rPr>
          <w:rFonts w:ascii="Times New Roman" w:hAnsi="Times New Roman" w:cs="Times New Roman"/>
          <w:i/>
          <w:iCs/>
        </w:rPr>
        <w:t xml:space="preserve">iter </w:t>
      </w:r>
      <w:r w:rsidRPr="002A3647">
        <w:rPr>
          <w:rFonts w:ascii="Times New Roman" w:hAnsi="Times New Roman" w:cs="Times New Roman"/>
        </w:rPr>
        <w:t xml:space="preserve">non può essere sfruttato per “scopi estranei” a quelli che giustificano </w:t>
      </w:r>
      <w:r w:rsidR="00E2113D" w:rsidRPr="002A3647">
        <w:rPr>
          <w:rFonts w:ascii="Times New Roman" w:hAnsi="Times New Roman" w:cs="Times New Roman"/>
        </w:rPr>
        <w:t>l’atto</w:t>
      </w:r>
      <w:r w:rsidRPr="002A3647">
        <w:rPr>
          <w:rFonts w:ascii="Times New Roman" w:hAnsi="Times New Roman" w:cs="Times New Roman"/>
        </w:rPr>
        <w:t xml:space="preserve"> con forza di legge (sentt. nn. 32 e 251 del 2014). Di qui l’esigenza che gli </w:t>
      </w:r>
      <w:r w:rsidR="00E2113D" w:rsidRPr="002A3647">
        <w:rPr>
          <w:rFonts w:ascii="Times New Roman" w:hAnsi="Times New Roman" w:cs="Times New Roman"/>
        </w:rPr>
        <w:t>emendamenti</w:t>
      </w:r>
      <w:r w:rsidRPr="002A3647">
        <w:rPr>
          <w:rFonts w:ascii="Times New Roman" w:hAnsi="Times New Roman" w:cs="Times New Roman"/>
        </w:rPr>
        <w:t xml:space="preserve"> siano limitati a modifiche e integrazioni </w:t>
      </w:r>
      <w:r w:rsidR="00E2113D" w:rsidRPr="002A3647">
        <w:rPr>
          <w:rFonts w:ascii="Times New Roman" w:hAnsi="Times New Roman" w:cs="Times New Roman"/>
        </w:rPr>
        <w:t>omogenee</w:t>
      </w:r>
      <w:r w:rsidRPr="002A3647">
        <w:rPr>
          <w:rFonts w:ascii="Times New Roman" w:hAnsi="Times New Roman" w:cs="Times New Roman"/>
        </w:rPr>
        <w:t xml:space="preserve"> rispetto all’oggetto del </w:t>
      </w:r>
      <w:r w:rsidR="00D454CF">
        <w:rPr>
          <w:rFonts w:ascii="Times New Roman" w:hAnsi="Times New Roman" w:cs="Times New Roman"/>
        </w:rPr>
        <w:t>decreto-legge</w:t>
      </w:r>
      <w:r w:rsidRPr="002A3647">
        <w:rPr>
          <w:rFonts w:ascii="Times New Roman" w:hAnsi="Times New Roman" w:cs="Times New Roman"/>
        </w:rPr>
        <w:t xml:space="preserve"> da convertire. Tale carattere sembra invero presente rispetto all’emendamento che determinerebbe la confluenza del c.d. decreto Paesi sicuri nella legge di conversione di altro decreto-legge che concerne pure la gestione dei flussi migratori</w:t>
      </w:r>
      <w:r w:rsidR="00E2113D" w:rsidRPr="002A3647">
        <w:rPr>
          <w:rFonts w:ascii="Times New Roman" w:hAnsi="Times New Roman" w:cs="Times New Roman"/>
        </w:rPr>
        <w:t>, non sembrando possibile rilevare una evidente estraneità o disomogeneità di contenuti</w:t>
      </w:r>
      <w:r w:rsidRPr="002A3647">
        <w:rPr>
          <w:rFonts w:ascii="Times New Roman" w:hAnsi="Times New Roman" w:cs="Times New Roman"/>
        </w:rPr>
        <w:t xml:space="preserve">. Salvo che si intenda enfatizzare il </w:t>
      </w:r>
      <w:r w:rsidR="00E2113D" w:rsidRPr="002A3647">
        <w:rPr>
          <w:rFonts w:ascii="Times New Roman" w:hAnsi="Times New Roman" w:cs="Times New Roman"/>
        </w:rPr>
        <w:t>carattere</w:t>
      </w:r>
      <w:r w:rsidRPr="002A3647">
        <w:rPr>
          <w:rFonts w:ascii="Times New Roman" w:hAnsi="Times New Roman" w:cs="Times New Roman"/>
        </w:rPr>
        <w:t xml:space="preserve"> di esclusività del nesso di interrelazione funzionale tra il decreto-legge e la </w:t>
      </w:r>
      <w:r w:rsidRPr="002A3647">
        <w:rPr>
          <w:rFonts w:ascii="Times New Roman" w:hAnsi="Times New Roman" w:cs="Times New Roman"/>
          <w:i/>
          <w:iCs/>
        </w:rPr>
        <w:t xml:space="preserve">sua </w:t>
      </w:r>
      <w:r w:rsidRPr="002A3647">
        <w:rPr>
          <w:rFonts w:ascii="Times New Roman" w:hAnsi="Times New Roman" w:cs="Times New Roman"/>
        </w:rPr>
        <w:t xml:space="preserve">legge di </w:t>
      </w:r>
      <w:r w:rsidR="00E2113D" w:rsidRPr="002A3647">
        <w:rPr>
          <w:rFonts w:ascii="Times New Roman" w:hAnsi="Times New Roman" w:cs="Times New Roman"/>
        </w:rPr>
        <w:t>conversione</w:t>
      </w:r>
      <w:r w:rsidRPr="002A3647">
        <w:rPr>
          <w:rFonts w:ascii="Times New Roman" w:hAnsi="Times New Roman" w:cs="Times New Roman"/>
        </w:rPr>
        <w:t xml:space="preserve">, insistendo sul loro essere «tappe di un’unica sequenza procedimentale». In tal modo, però, il requisito dell’omogeneità verrebbe inteso non solo dal punto di vista contenutistico o </w:t>
      </w:r>
      <w:r w:rsidR="00E2113D" w:rsidRPr="002A3647">
        <w:rPr>
          <w:rFonts w:ascii="Times New Roman" w:hAnsi="Times New Roman" w:cs="Times New Roman"/>
        </w:rPr>
        <w:t>finalistico</w:t>
      </w:r>
      <w:r w:rsidRPr="002A3647">
        <w:rPr>
          <w:rFonts w:ascii="Times New Roman" w:hAnsi="Times New Roman" w:cs="Times New Roman"/>
        </w:rPr>
        <w:t>, ma anche, come ritiene parte della dottrina, sul piano «attizio</w:t>
      </w:r>
      <w:r w:rsidR="00E8452C" w:rsidRPr="002A3647">
        <w:rPr>
          <w:rFonts w:ascii="Times New Roman" w:hAnsi="Times New Roman" w:cs="Times New Roman"/>
        </w:rPr>
        <w:t xml:space="preserve">», in una dimensione formale che porterebbe radicalmente a negare la possibilità che con la stessa legge si possano </w:t>
      </w:r>
      <w:r w:rsidR="00E2113D" w:rsidRPr="002A3647">
        <w:rPr>
          <w:rFonts w:ascii="Times New Roman" w:hAnsi="Times New Roman" w:cs="Times New Roman"/>
        </w:rPr>
        <w:t>sostanzialmente</w:t>
      </w:r>
      <w:r w:rsidR="00E8452C" w:rsidRPr="002A3647">
        <w:rPr>
          <w:rFonts w:ascii="Times New Roman" w:hAnsi="Times New Roman" w:cs="Times New Roman"/>
        </w:rPr>
        <w:t xml:space="preserve"> convertire </w:t>
      </w:r>
      <w:r w:rsidRPr="002A3647">
        <w:rPr>
          <w:rFonts w:ascii="Times New Roman" w:hAnsi="Times New Roman" w:cs="Times New Roman"/>
        </w:rPr>
        <w:t>due (o pi</w:t>
      </w:r>
      <w:r w:rsidR="00E2113D" w:rsidRPr="002A3647">
        <w:rPr>
          <w:rFonts w:ascii="Times New Roman" w:hAnsi="Times New Roman" w:cs="Times New Roman"/>
        </w:rPr>
        <w:t>ù</w:t>
      </w:r>
      <w:r w:rsidRPr="002A3647">
        <w:rPr>
          <w:rFonts w:ascii="Times New Roman" w:hAnsi="Times New Roman" w:cs="Times New Roman"/>
        </w:rPr>
        <w:t>) distinti decreti-legge</w:t>
      </w:r>
      <w:r w:rsidR="00E8452C" w:rsidRPr="002A3647">
        <w:rPr>
          <w:rFonts w:ascii="Times New Roman" w:hAnsi="Times New Roman" w:cs="Times New Roman"/>
        </w:rPr>
        <w:t xml:space="preserve">. Si andrebbe, così, oltre il confine che vuole l’attività emendativa </w:t>
      </w:r>
      <w:r w:rsidR="00E2113D" w:rsidRPr="002A3647">
        <w:rPr>
          <w:rFonts w:ascii="Times New Roman" w:hAnsi="Times New Roman" w:cs="Times New Roman"/>
        </w:rPr>
        <w:t>limitata</w:t>
      </w:r>
      <w:r w:rsidR="00E8452C" w:rsidRPr="002A3647">
        <w:rPr>
          <w:rFonts w:ascii="Times New Roman" w:hAnsi="Times New Roman" w:cs="Times New Roman"/>
        </w:rPr>
        <w:t xml:space="preserve"> alla materia o alla finalità oggetto del provvedimento, per escluderne radicalmente la possibilità ove la “provenienza” dell’emendamento sia segnat</w:t>
      </w:r>
      <w:r w:rsidR="00E2113D" w:rsidRPr="002A3647">
        <w:rPr>
          <w:rFonts w:ascii="Times New Roman" w:hAnsi="Times New Roman" w:cs="Times New Roman"/>
        </w:rPr>
        <w:t>a</w:t>
      </w:r>
      <w:r w:rsidR="00E8452C" w:rsidRPr="002A3647">
        <w:rPr>
          <w:rFonts w:ascii="Times New Roman" w:hAnsi="Times New Roman" w:cs="Times New Roman"/>
        </w:rPr>
        <w:t xml:space="preserve"> dalla coincidenza </w:t>
      </w:r>
      <w:r w:rsidR="00E2113D" w:rsidRPr="002A3647">
        <w:rPr>
          <w:rFonts w:ascii="Times New Roman" w:hAnsi="Times New Roman" w:cs="Times New Roman"/>
        </w:rPr>
        <w:t xml:space="preserve">contenutistica </w:t>
      </w:r>
      <w:r w:rsidR="00E8452C" w:rsidRPr="002A3647">
        <w:rPr>
          <w:rFonts w:ascii="Times New Roman" w:hAnsi="Times New Roman" w:cs="Times New Roman"/>
        </w:rPr>
        <w:t xml:space="preserve">con quanto già previsto in altro </w:t>
      </w:r>
      <w:r w:rsidR="00E2113D" w:rsidRPr="002A3647">
        <w:rPr>
          <w:rFonts w:ascii="Times New Roman" w:hAnsi="Times New Roman" w:cs="Times New Roman"/>
        </w:rPr>
        <w:t>decreto</w:t>
      </w:r>
      <w:r w:rsidR="00E8452C" w:rsidRPr="002A3647">
        <w:rPr>
          <w:rFonts w:ascii="Times New Roman" w:hAnsi="Times New Roman" w:cs="Times New Roman"/>
        </w:rPr>
        <w:t xml:space="preserve">-legge in corso di conversione. Si tratta forse di una </w:t>
      </w:r>
      <w:r w:rsidR="00E2113D" w:rsidRPr="002A3647">
        <w:rPr>
          <w:rFonts w:ascii="Times New Roman" w:hAnsi="Times New Roman" w:cs="Times New Roman"/>
        </w:rPr>
        <w:t>rigidità</w:t>
      </w:r>
      <w:r w:rsidR="00E8452C" w:rsidRPr="002A3647">
        <w:rPr>
          <w:rFonts w:ascii="Times New Roman" w:hAnsi="Times New Roman" w:cs="Times New Roman"/>
        </w:rPr>
        <w:t xml:space="preserve"> eccessiva che sup</w:t>
      </w:r>
      <w:r w:rsidR="00E2113D" w:rsidRPr="002A3647">
        <w:rPr>
          <w:rFonts w:ascii="Times New Roman" w:hAnsi="Times New Roman" w:cs="Times New Roman"/>
        </w:rPr>
        <w:t>e</w:t>
      </w:r>
      <w:r w:rsidR="00E8452C" w:rsidRPr="002A3647">
        <w:rPr>
          <w:rFonts w:ascii="Times New Roman" w:hAnsi="Times New Roman" w:cs="Times New Roman"/>
        </w:rPr>
        <w:t>ra anche</w:t>
      </w:r>
      <w:r w:rsidR="00E2113D" w:rsidRPr="002A3647">
        <w:rPr>
          <w:rFonts w:ascii="Times New Roman" w:hAnsi="Times New Roman" w:cs="Times New Roman"/>
        </w:rPr>
        <w:t xml:space="preserve"> i confini del</w:t>
      </w:r>
      <w:r w:rsidR="00E8452C" w:rsidRPr="002A3647">
        <w:rPr>
          <w:rFonts w:ascii="Times New Roman" w:hAnsi="Times New Roman" w:cs="Times New Roman"/>
        </w:rPr>
        <w:t xml:space="preserve"> duro monito </w:t>
      </w:r>
      <w:r w:rsidR="00E2113D" w:rsidRPr="002A3647">
        <w:rPr>
          <w:rFonts w:ascii="Times New Roman" w:hAnsi="Times New Roman" w:cs="Times New Roman"/>
        </w:rPr>
        <w:t>espresso nei seguenti termini dal</w:t>
      </w:r>
      <w:r w:rsidR="00E8452C" w:rsidRPr="002A3647">
        <w:rPr>
          <w:rFonts w:ascii="Times New Roman" w:hAnsi="Times New Roman" w:cs="Times New Roman"/>
        </w:rPr>
        <w:t xml:space="preserve"> Presidente della Repubblica </w:t>
      </w:r>
      <w:r w:rsidR="00E2113D" w:rsidRPr="002A3647">
        <w:rPr>
          <w:rFonts w:ascii="Times New Roman" w:hAnsi="Times New Roman" w:cs="Times New Roman"/>
        </w:rPr>
        <w:t xml:space="preserve">in un messaggio del </w:t>
      </w:r>
      <w:r w:rsidR="00E8452C" w:rsidRPr="002A3647">
        <w:rPr>
          <w:rFonts w:ascii="Times New Roman" w:hAnsi="Times New Roman" w:cs="Times New Roman"/>
        </w:rPr>
        <w:t>23 luglio 2021</w:t>
      </w:r>
      <w:r w:rsidR="00E2113D" w:rsidRPr="002A3647">
        <w:rPr>
          <w:rFonts w:ascii="Times New Roman" w:hAnsi="Times New Roman" w:cs="Times New Roman"/>
        </w:rPr>
        <w:t>: «l</w:t>
      </w:r>
      <w:r w:rsidR="00E8452C" w:rsidRPr="002A3647">
        <w:rPr>
          <w:rFonts w:ascii="Times New Roman" w:hAnsi="Times New Roman" w:cs="Times New Roman"/>
        </w:rPr>
        <w:t>a conflu</w:t>
      </w:r>
      <w:r w:rsidR="00E2113D" w:rsidRPr="002A3647">
        <w:rPr>
          <w:rFonts w:ascii="Times New Roman" w:hAnsi="Times New Roman" w:cs="Times New Roman"/>
        </w:rPr>
        <w:t>e</w:t>
      </w:r>
      <w:r w:rsidR="00E8452C" w:rsidRPr="002A3647">
        <w:rPr>
          <w:rFonts w:ascii="Times New Roman" w:hAnsi="Times New Roman" w:cs="Times New Roman"/>
        </w:rPr>
        <w:t xml:space="preserve">nza di un decreto-legge in un </w:t>
      </w:r>
      <w:r w:rsidR="00E2113D" w:rsidRPr="002A3647">
        <w:rPr>
          <w:rFonts w:ascii="Times New Roman" w:hAnsi="Times New Roman" w:cs="Times New Roman"/>
        </w:rPr>
        <w:t>altro</w:t>
      </w:r>
      <w:r w:rsidR="00E8452C" w:rsidRPr="002A3647">
        <w:rPr>
          <w:rFonts w:ascii="Times New Roman" w:hAnsi="Times New Roman" w:cs="Times New Roman"/>
        </w:rPr>
        <w:t xml:space="preserve"> provvedimento d’urgenza, oltre a dover rispettare il requisito dell’</w:t>
      </w:r>
      <w:r w:rsidR="00E2113D" w:rsidRPr="002A3647">
        <w:rPr>
          <w:rFonts w:ascii="Times New Roman" w:hAnsi="Times New Roman" w:cs="Times New Roman"/>
          <w:i/>
          <w:iCs/>
        </w:rPr>
        <w:t>omogeneità</w:t>
      </w:r>
      <w:r w:rsidR="00E8452C" w:rsidRPr="002A3647">
        <w:rPr>
          <w:rFonts w:ascii="Times New Roman" w:hAnsi="Times New Roman" w:cs="Times New Roman"/>
          <w:i/>
          <w:iCs/>
        </w:rPr>
        <w:t xml:space="preserve"> di cont</w:t>
      </w:r>
      <w:r w:rsidR="00E2113D" w:rsidRPr="002A3647">
        <w:rPr>
          <w:rFonts w:ascii="Times New Roman" w:hAnsi="Times New Roman" w:cs="Times New Roman"/>
          <w:i/>
          <w:iCs/>
        </w:rPr>
        <w:t>e</w:t>
      </w:r>
      <w:r w:rsidR="00E8452C" w:rsidRPr="002A3647">
        <w:rPr>
          <w:rFonts w:ascii="Times New Roman" w:hAnsi="Times New Roman" w:cs="Times New Roman"/>
          <w:i/>
          <w:iCs/>
        </w:rPr>
        <w:t>nuto</w:t>
      </w:r>
      <w:r w:rsidR="00E8452C" w:rsidRPr="002A3647">
        <w:rPr>
          <w:rFonts w:ascii="Times New Roman" w:hAnsi="Times New Roman" w:cs="Times New Roman"/>
        </w:rPr>
        <w:t>, dovr</w:t>
      </w:r>
      <w:r w:rsidR="00E2113D" w:rsidRPr="002A3647">
        <w:rPr>
          <w:rFonts w:ascii="Times New Roman" w:hAnsi="Times New Roman" w:cs="Times New Roman"/>
        </w:rPr>
        <w:t>à</w:t>
      </w:r>
      <w:r w:rsidR="00E8452C" w:rsidRPr="002A3647">
        <w:rPr>
          <w:rFonts w:ascii="Times New Roman" w:hAnsi="Times New Roman" w:cs="Times New Roman"/>
        </w:rPr>
        <w:t xml:space="preserve"> verificarsi solo in casi ec</w:t>
      </w:r>
      <w:r w:rsidR="00E2113D" w:rsidRPr="002A3647">
        <w:rPr>
          <w:rFonts w:ascii="Times New Roman" w:hAnsi="Times New Roman" w:cs="Times New Roman"/>
        </w:rPr>
        <w:t>cez</w:t>
      </w:r>
      <w:r w:rsidR="00E8452C" w:rsidRPr="002A3647">
        <w:rPr>
          <w:rFonts w:ascii="Times New Roman" w:hAnsi="Times New Roman" w:cs="Times New Roman"/>
        </w:rPr>
        <w:t xml:space="preserve">ionali e con </w:t>
      </w:r>
      <w:r w:rsidR="00E2113D" w:rsidRPr="002A3647">
        <w:rPr>
          <w:rFonts w:ascii="Times New Roman" w:hAnsi="Times New Roman" w:cs="Times New Roman"/>
        </w:rPr>
        <w:t>modalità</w:t>
      </w:r>
      <w:r w:rsidR="00E8452C" w:rsidRPr="002A3647">
        <w:rPr>
          <w:rFonts w:ascii="Times New Roman" w:hAnsi="Times New Roman" w:cs="Times New Roman"/>
        </w:rPr>
        <w:t xml:space="preserve"> tali da non pregiudicarne l’esame </w:t>
      </w:r>
      <w:r w:rsidR="00E2113D" w:rsidRPr="002A3647">
        <w:rPr>
          <w:rFonts w:ascii="Times New Roman" w:hAnsi="Times New Roman" w:cs="Times New Roman"/>
        </w:rPr>
        <w:t>parlamentare</w:t>
      </w:r>
      <w:r w:rsidR="00E8452C" w:rsidRPr="002A3647">
        <w:rPr>
          <w:rFonts w:ascii="Times New Roman" w:hAnsi="Times New Roman" w:cs="Times New Roman"/>
        </w:rPr>
        <w:t>»</w:t>
      </w:r>
      <w:r w:rsidR="00E2113D" w:rsidRPr="002A3647">
        <w:rPr>
          <w:rFonts w:ascii="Times New Roman" w:hAnsi="Times New Roman" w:cs="Times New Roman"/>
        </w:rPr>
        <w:t>.</w:t>
      </w:r>
      <w:r w:rsidR="00E8452C" w:rsidRPr="002A3647">
        <w:rPr>
          <w:rFonts w:ascii="Times New Roman" w:hAnsi="Times New Roman" w:cs="Times New Roman"/>
        </w:rPr>
        <w:t xml:space="preserve"> </w:t>
      </w:r>
    </w:p>
    <w:p w14:paraId="55A5183C" w14:textId="77777777" w:rsidR="007E48B9" w:rsidRPr="002A3647" w:rsidRDefault="007E48B9" w:rsidP="007E48B9">
      <w:pPr>
        <w:spacing w:line="360" w:lineRule="auto"/>
        <w:ind w:firstLine="142"/>
        <w:jc w:val="both"/>
        <w:rPr>
          <w:rFonts w:ascii="Times New Roman" w:hAnsi="Times New Roman" w:cs="Times New Roman"/>
        </w:rPr>
      </w:pPr>
    </w:p>
    <w:p w14:paraId="56B5E117" w14:textId="1B4D8700" w:rsidR="00E2113D" w:rsidRPr="002A3647" w:rsidRDefault="00E8452C" w:rsidP="007E48B9">
      <w:pPr>
        <w:pStyle w:val="Paragrafoelenco"/>
        <w:numPr>
          <w:ilvl w:val="0"/>
          <w:numId w:val="1"/>
        </w:numPr>
        <w:spacing w:line="360" w:lineRule="auto"/>
        <w:ind w:left="0" w:firstLine="142"/>
        <w:jc w:val="both"/>
        <w:rPr>
          <w:rFonts w:ascii="Times New Roman" w:hAnsi="Times New Roman" w:cs="Times New Roman"/>
        </w:rPr>
      </w:pPr>
      <w:r w:rsidRPr="002A3647">
        <w:rPr>
          <w:rFonts w:ascii="Times New Roman" w:hAnsi="Times New Roman" w:cs="Times New Roman"/>
        </w:rPr>
        <w:t xml:space="preserve">Di maggior pregio potrebbe essere la considerazione </w:t>
      </w:r>
      <w:r w:rsidR="006D23F4">
        <w:rPr>
          <w:rFonts w:ascii="Times New Roman" w:hAnsi="Times New Roman" w:cs="Times New Roman"/>
        </w:rPr>
        <w:t>connessa</w:t>
      </w:r>
      <w:r w:rsidRPr="002A3647">
        <w:rPr>
          <w:rFonts w:ascii="Times New Roman" w:hAnsi="Times New Roman" w:cs="Times New Roman"/>
        </w:rPr>
        <w:t xml:space="preserve"> al fatto che </w:t>
      </w:r>
      <w:r w:rsidR="00275A9C" w:rsidRPr="002A3647">
        <w:rPr>
          <w:rFonts w:ascii="Times New Roman" w:hAnsi="Times New Roman" w:cs="Times New Roman"/>
        </w:rPr>
        <w:t xml:space="preserve">gli effetti già prodotti dal </w:t>
      </w:r>
      <w:r w:rsidRPr="002A3647">
        <w:rPr>
          <w:rFonts w:ascii="Times New Roman" w:hAnsi="Times New Roman" w:cs="Times New Roman"/>
        </w:rPr>
        <w:t xml:space="preserve">decreto-legge </w:t>
      </w:r>
      <w:r w:rsidR="00E2113D" w:rsidRPr="002A3647">
        <w:rPr>
          <w:rFonts w:ascii="Times New Roman" w:hAnsi="Times New Roman" w:cs="Times New Roman"/>
        </w:rPr>
        <w:t xml:space="preserve">oggetto di </w:t>
      </w:r>
      <w:r w:rsidRPr="002A3647">
        <w:rPr>
          <w:rFonts w:ascii="Times New Roman" w:hAnsi="Times New Roman" w:cs="Times New Roman"/>
        </w:rPr>
        <w:t>“confluen</w:t>
      </w:r>
      <w:r w:rsidR="00E2113D" w:rsidRPr="002A3647">
        <w:rPr>
          <w:rFonts w:ascii="Times New Roman" w:hAnsi="Times New Roman" w:cs="Times New Roman"/>
        </w:rPr>
        <w:t>za</w:t>
      </w:r>
      <w:r w:rsidRPr="002A3647">
        <w:rPr>
          <w:rFonts w:ascii="Times New Roman" w:hAnsi="Times New Roman" w:cs="Times New Roman"/>
        </w:rPr>
        <w:t>”, adottato successivamente a quello che si va a convertire</w:t>
      </w:r>
      <w:r w:rsidR="00275A9C" w:rsidRPr="002A3647">
        <w:rPr>
          <w:rFonts w:ascii="Times New Roman" w:hAnsi="Times New Roman" w:cs="Times New Roman"/>
        </w:rPr>
        <w:t xml:space="preserve"> e dunque ancora potenzialmente convertibile, vengono solitamente fatti salvi dalla stessa legge di conversione che ne “ospita” i contenuti. </w:t>
      </w:r>
      <w:r w:rsidR="00D01DC8" w:rsidRPr="002A3647">
        <w:rPr>
          <w:rFonts w:ascii="Times New Roman" w:hAnsi="Times New Roman" w:cs="Times New Roman"/>
        </w:rPr>
        <w:t>La tecnica impiegata è quella dell’abrogazione del decreto-legge confluito in altra legge di conversione, con l’adozione, appunto, di specifica clausola per far salvi gli effetti già prodotti</w:t>
      </w:r>
      <w:r w:rsidR="00D454CF">
        <w:rPr>
          <w:rFonts w:ascii="Times New Roman" w:hAnsi="Times New Roman" w:cs="Times New Roman"/>
        </w:rPr>
        <w:t xml:space="preserve"> (così è anche nel caso in esame, per effetto dell’introduzione di tale </w:t>
      </w:r>
      <w:r w:rsidR="00FA5FFC">
        <w:rPr>
          <w:rFonts w:ascii="Times New Roman" w:hAnsi="Times New Roman" w:cs="Times New Roman"/>
        </w:rPr>
        <w:t>formula</w:t>
      </w:r>
      <w:r w:rsidR="00D454CF">
        <w:rPr>
          <w:rFonts w:ascii="Times New Roman" w:hAnsi="Times New Roman" w:cs="Times New Roman"/>
        </w:rPr>
        <w:t xml:space="preserve"> nell’art. 1-</w:t>
      </w:r>
      <w:r w:rsidR="00D454CF">
        <w:rPr>
          <w:rFonts w:ascii="Times New Roman" w:hAnsi="Times New Roman" w:cs="Times New Roman"/>
          <w:i/>
          <w:iCs/>
        </w:rPr>
        <w:t>bis</w:t>
      </w:r>
      <w:r w:rsidR="00D454CF">
        <w:rPr>
          <w:rFonts w:ascii="Times New Roman" w:hAnsi="Times New Roman" w:cs="Times New Roman"/>
        </w:rPr>
        <w:t xml:space="preserve"> del disegno di legge di conversione del decreto-legge n. 145 del 2024)</w:t>
      </w:r>
      <w:r w:rsidR="00D01DC8" w:rsidRPr="002A3647">
        <w:rPr>
          <w:rFonts w:ascii="Times New Roman" w:hAnsi="Times New Roman" w:cs="Times New Roman"/>
        </w:rPr>
        <w:t xml:space="preserve">. Qui si potrebbe </w:t>
      </w:r>
      <w:r w:rsidR="00050FA8">
        <w:rPr>
          <w:rFonts w:ascii="Times New Roman" w:hAnsi="Times New Roman" w:cs="Times New Roman"/>
        </w:rPr>
        <w:t>ravvisar</w:t>
      </w:r>
      <w:r w:rsidR="00D01DC8" w:rsidRPr="002A3647">
        <w:rPr>
          <w:rFonts w:ascii="Times New Roman" w:hAnsi="Times New Roman" w:cs="Times New Roman"/>
        </w:rPr>
        <w:t>e una possibile incostituzionalità con riguardo alla disposta salvezza degli effetti, facendo leva sul fatto che la sanatoria ammessa dall’art. 77, ultimo comma, Cost. è esplicitamente riferita ai «decreti non convertiti», condizione nella specie non ricorrente in quanto trattasi, appunto, di decreto ancora potenzialmente convertibile. Secondo una parte della dottrina, tale sanatoria sarebbe</w:t>
      </w:r>
      <w:r w:rsidR="00275A9C" w:rsidRPr="002A3647">
        <w:rPr>
          <w:rFonts w:ascii="Times New Roman" w:hAnsi="Times New Roman" w:cs="Times New Roman"/>
        </w:rPr>
        <w:t>, insomma,</w:t>
      </w:r>
      <w:r w:rsidR="00D01DC8" w:rsidRPr="002A3647">
        <w:rPr>
          <w:rFonts w:ascii="Times New Roman" w:hAnsi="Times New Roman" w:cs="Times New Roman"/>
        </w:rPr>
        <w:t xml:space="preserve"> come tale illegittima per assenza del presupposto della mancata conversione. Tuttavia, si potrebbe diversamente ritenere che </w:t>
      </w:r>
      <w:r w:rsidR="00275A9C" w:rsidRPr="002A3647">
        <w:rPr>
          <w:rFonts w:ascii="Times New Roman" w:hAnsi="Times New Roman" w:cs="Times New Roman"/>
        </w:rPr>
        <w:t>la disposta abrogazione equivalga a mancata conversione</w:t>
      </w:r>
      <w:r w:rsidR="0026318E" w:rsidRPr="002A3647">
        <w:rPr>
          <w:rFonts w:ascii="Times New Roman" w:hAnsi="Times New Roman" w:cs="Times New Roman"/>
        </w:rPr>
        <w:t xml:space="preserve"> (in un parere del 15 aprile 2020 del Comitato per la legislazione si legge che l’abrogazione determinerebbe una sostanziale non conversione)</w:t>
      </w:r>
      <w:r w:rsidR="008659EB" w:rsidRPr="002A3647">
        <w:rPr>
          <w:rFonts w:ascii="Times New Roman" w:hAnsi="Times New Roman" w:cs="Times New Roman"/>
        </w:rPr>
        <w:t>, legittimando</w:t>
      </w:r>
      <w:r w:rsidR="00A774F9" w:rsidRPr="002A3647">
        <w:rPr>
          <w:rFonts w:ascii="Times New Roman" w:hAnsi="Times New Roman" w:cs="Times New Roman"/>
        </w:rPr>
        <w:t xml:space="preserve"> così</w:t>
      </w:r>
      <w:r w:rsidR="008659EB" w:rsidRPr="002A3647">
        <w:rPr>
          <w:rFonts w:ascii="Times New Roman" w:hAnsi="Times New Roman" w:cs="Times New Roman"/>
        </w:rPr>
        <w:t xml:space="preserve"> la contestuale previsione che fa salvi </w:t>
      </w:r>
      <w:r w:rsidR="00E2113D" w:rsidRPr="002A3647">
        <w:rPr>
          <w:rFonts w:ascii="Times New Roman" w:hAnsi="Times New Roman" w:cs="Times New Roman"/>
        </w:rPr>
        <w:t xml:space="preserve">gli effetti </w:t>
      </w:r>
      <w:r w:rsidR="00E2113D" w:rsidRPr="002A3647">
        <w:rPr>
          <w:rFonts w:ascii="Times New Roman" w:hAnsi="Times New Roman" w:cs="Times New Roman"/>
          <w:i/>
          <w:iCs/>
        </w:rPr>
        <w:t xml:space="preserve">medio tempore </w:t>
      </w:r>
      <w:r w:rsidR="00E2113D" w:rsidRPr="002A3647">
        <w:rPr>
          <w:rFonts w:ascii="Times New Roman" w:hAnsi="Times New Roman" w:cs="Times New Roman"/>
        </w:rPr>
        <w:t xml:space="preserve">prodotti. Un’operazione – convengo – disorientante, </w:t>
      </w:r>
      <w:r w:rsidR="007E48B9" w:rsidRPr="002A3647">
        <w:rPr>
          <w:rFonts w:ascii="Times New Roman" w:hAnsi="Times New Roman" w:cs="Times New Roman"/>
        </w:rPr>
        <w:t xml:space="preserve">capace di determinare una confusa sovrapposizione di strumenti normativi </w:t>
      </w:r>
      <w:r w:rsidR="007E48B9" w:rsidRPr="002A3647">
        <w:rPr>
          <w:rFonts w:ascii="Times New Roman" w:hAnsi="Times New Roman" w:cs="Times New Roman"/>
          <w:i/>
          <w:iCs/>
        </w:rPr>
        <w:t xml:space="preserve">in itinere, </w:t>
      </w:r>
      <w:r w:rsidR="00E2113D" w:rsidRPr="002A3647">
        <w:rPr>
          <w:rFonts w:ascii="Times New Roman" w:hAnsi="Times New Roman" w:cs="Times New Roman"/>
        </w:rPr>
        <w:t>ma forse non ancora tale</w:t>
      </w:r>
      <w:r w:rsidR="007E48B9" w:rsidRPr="002A3647">
        <w:rPr>
          <w:rFonts w:ascii="Times New Roman" w:hAnsi="Times New Roman" w:cs="Times New Roman"/>
        </w:rPr>
        <w:t>, per questo solo aspetto,</w:t>
      </w:r>
      <w:r w:rsidR="00E2113D" w:rsidRPr="002A3647">
        <w:rPr>
          <w:rFonts w:ascii="Times New Roman" w:hAnsi="Times New Roman" w:cs="Times New Roman"/>
        </w:rPr>
        <w:t xml:space="preserve"> da fuoriuscire dai confini della compatibilità con la Costituzione</w:t>
      </w:r>
      <w:r w:rsidR="008659EB" w:rsidRPr="002A3647">
        <w:rPr>
          <w:rFonts w:ascii="Times New Roman" w:hAnsi="Times New Roman" w:cs="Times New Roman"/>
        </w:rPr>
        <w:t>.</w:t>
      </w:r>
      <w:r w:rsidR="007E48B9" w:rsidRPr="002A3647">
        <w:rPr>
          <w:rFonts w:ascii="Times New Roman" w:hAnsi="Times New Roman" w:cs="Times New Roman"/>
        </w:rPr>
        <w:t xml:space="preserve"> </w:t>
      </w:r>
    </w:p>
    <w:p w14:paraId="7FF949AF" w14:textId="77777777" w:rsidR="007E48B9" w:rsidRPr="002A3647" w:rsidRDefault="007E48B9" w:rsidP="007E48B9">
      <w:pPr>
        <w:spacing w:line="360" w:lineRule="auto"/>
        <w:ind w:firstLine="142"/>
        <w:jc w:val="both"/>
        <w:rPr>
          <w:rFonts w:ascii="Times New Roman" w:hAnsi="Times New Roman" w:cs="Times New Roman"/>
        </w:rPr>
      </w:pPr>
    </w:p>
    <w:p w14:paraId="468A8A30" w14:textId="77777777" w:rsidR="006D23F4" w:rsidRDefault="00E2113D" w:rsidP="007E48B9">
      <w:pPr>
        <w:pStyle w:val="Paragrafoelenco"/>
        <w:numPr>
          <w:ilvl w:val="0"/>
          <w:numId w:val="1"/>
        </w:numPr>
        <w:spacing w:line="360" w:lineRule="auto"/>
        <w:ind w:left="0" w:firstLine="142"/>
        <w:jc w:val="both"/>
        <w:rPr>
          <w:rFonts w:ascii="Times New Roman" w:hAnsi="Times New Roman" w:cs="Times New Roman"/>
        </w:rPr>
      </w:pPr>
      <w:r w:rsidRPr="002A3647">
        <w:rPr>
          <w:rFonts w:ascii="Times New Roman" w:hAnsi="Times New Roman" w:cs="Times New Roman"/>
        </w:rPr>
        <w:t>Oltre alle opacità, incoerenze e ambiguità che tale operazione porta con sé, anche ai fini della complessiva intelligibilità del provvedimento oggetto delle interpolazioni necessarie per farvi confluire i contenuti di altro decreto-legge, il punto che merita di essere</w:t>
      </w:r>
      <w:r w:rsidR="008659EB" w:rsidRPr="002A3647">
        <w:rPr>
          <w:rFonts w:ascii="Times New Roman" w:hAnsi="Times New Roman" w:cs="Times New Roman"/>
        </w:rPr>
        <w:t xml:space="preserve"> messo</w:t>
      </w:r>
      <w:r w:rsidRPr="002A3647">
        <w:rPr>
          <w:rFonts w:ascii="Times New Roman" w:hAnsi="Times New Roman" w:cs="Times New Roman"/>
        </w:rPr>
        <w:t xml:space="preserve"> in evidenza è, a mio giudizio, un altro</w:t>
      </w:r>
      <w:r w:rsidR="00FC4A36" w:rsidRPr="002A3647">
        <w:rPr>
          <w:rFonts w:ascii="Times New Roman" w:hAnsi="Times New Roman" w:cs="Times New Roman"/>
        </w:rPr>
        <w:t>, che possiamo inserire nel più ampio perimetro segnato dal discorso al Parlamento del Presidente Matt</w:t>
      </w:r>
      <w:r w:rsidR="00924FA2" w:rsidRPr="002A3647">
        <w:rPr>
          <w:rFonts w:ascii="Times New Roman" w:hAnsi="Times New Roman" w:cs="Times New Roman"/>
        </w:rPr>
        <w:t>a</w:t>
      </w:r>
      <w:r w:rsidR="00FC4A36" w:rsidRPr="002A3647">
        <w:rPr>
          <w:rFonts w:ascii="Times New Roman" w:hAnsi="Times New Roman" w:cs="Times New Roman"/>
        </w:rPr>
        <w:t>rella, svolto nel giorno del giuramento per il suo secondo mandato (3 febbraio 2022). Nel sottolineare l’esigenza che il Parlamento sia sempre posto in condizione di poter «esaminare e valutare con tempi adeguati» le proposte e gli atti del Governo, il Presidente ha affermato che «la forzata compressione dei tempi parlamentari rappresenta un rischio non certo minore di ingiustificate e dannose dilatazione di tempi». È considerazione che possiamo ben legare a passaggi chiarissimi della giurisprudenza costituzionale, basati sull’assunto per cui il Parlamento è e deve rimanere il luogo principale «di confronto e di discussione tra le diverse forze politiche» e che</w:t>
      </w:r>
      <w:r w:rsidR="00B97D1A" w:rsidRPr="002A3647">
        <w:rPr>
          <w:rFonts w:ascii="Times New Roman" w:hAnsi="Times New Roman" w:cs="Times New Roman"/>
        </w:rPr>
        <w:t xml:space="preserve"> a tutti i parlamentari deve essere data la possibilità di poter contribuire alla formazione della volontà legislativa, nel rigoroso rispetto degli «snodi procedimentali» previsti dalla Costituzione (a partire da quelli di cui all’art. 72 Cost.). </w:t>
      </w:r>
    </w:p>
    <w:p w14:paraId="52FA6F66" w14:textId="42F12618" w:rsidR="00B97D1A" w:rsidRPr="006D23F4" w:rsidRDefault="00B97D1A" w:rsidP="006D23F4">
      <w:pPr>
        <w:spacing w:line="360" w:lineRule="auto"/>
        <w:ind w:firstLine="142"/>
        <w:jc w:val="both"/>
        <w:rPr>
          <w:rFonts w:ascii="Times New Roman" w:hAnsi="Times New Roman" w:cs="Times New Roman"/>
        </w:rPr>
      </w:pPr>
      <w:r w:rsidRPr="006D23F4">
        <w:rPr>
          <w:rFonts w:ascii="Times New Roman" w:hAnsi="Times New Roman" w:cs="Times New Roman"/>
        </w:rPr>
        <w:t>Sono passaggi contenuti in una nota decisione (ord. n. 17 del 2019) che ha aperto alla possibilità per il singolo parlamentare di sollevare, sia pure eccezionalmente, conflitto di attribuzion</w:t>
      </w:r>
      <w:r w:rsidR="00552A0B">
        <w:rPr>
          <w:rFonts w:ascii="Times New Roman" w:hAnsi="Times New Roman" w:cs="Times New Roman"/>
        </w:rPr>
        <w:t>e</w:t>
      </w:r>
      <w:r w:rsidRPr="006D23F4">
        <w:rPr>
          <w:rFonts w:ascii="Times New Roman" w:hAnsi="Times New Roman" w:cs="Times New Roman"/>
        </w:rPr>
        <w:t>, pe</w:t>
      </w:r>
      <w:r w:rsidR="008659EB" w:rsidRPr="006D23F4">
        <w:rPr>
          <w:rFonts w:ascii="Times New Roman" w:hAnsi="Times New Roman" w:cs="Times New Roman"/>
        </w:rPr>
        <w:t>r</w:t>
      </w:r>
      <w:r w:rsidRPr="006D23F4">
        <w:rPr>
          <w:rFonts w:ascii="Times New Roman" w:hAnsi="Times New Roman" w:cs="Times New Roman"/>
        </w:rPr>
        <w:t xml:space="preserve"> tutelare le prerogative costituzionali che gli spettano, in una prospettiva dichiaratamente ispirata alla necessità che «il ruolo riservato dalla Costituzione al Parlamento nel procedimento di formazione delle leggi non sia solo osservato nominalmente, ma rispettato nel suo significato sostanziale». </w:t>
      </w:r>
    </w:p>
    <w:p w14:paraId="08F49BD8" w14:textId="40C778C8" w:rsidR="00AA4BFD" w:rsidRPr="002A3647" w:rsidRDefault="00AA4BFD" w:rsidP="007E48B9">
      <w:pPr>
        <w:spacing w:line="360" w:lineRule="auto"/>
        <w:ind w:firstLine="142"/>
        <w:jc w:val="both"/>
        <w:rPr>
          <w:rFonts w:ascii="Times New Roman" w:hAnsi="Times New Roman" w:cs="Times New Roman"/>
        </w:rPr>
      </w:pPr>
      <w:r w:rsidRPr="002A3647">
        <w:rPr>
          <w:rFonts w:ascii="Times New Roman" w:hAnsi="Times New Roman" w:cs="Times New Roman"/>
        </w:rPr>
        <w:t>Nella valutazione del singolo caso di “confluenza” occorre tener conto della complessità dell’oggetto e del momento in cui l’operazione viene compiuta, in particolare della distanza temporale dall’adozione del primo decreto-legge oggetto di conversione nel quale si intendono far confluire i contenuti del successivo atto. È ovvio che tanto più l’inserimento è tardivo, tanto minore sarà il tempo che il Parlamento può riservare all’esame dei contenuti del “confluendo” decreto.</w:t>
      </w:r>
      <w:r w:rsidR="006C61EE" w:rsidRPr="002A3647">
        <w:rPr>
          <w:rFonts w:ascii="Times New Roman" w:hAnsi="Times New Roman" w:cs="Times New Roman"/>
        </w:rPr>
        <w:t xml:space="preserve"> Quanto alla complessità dell’oggetto essa appare evidente nel caso di specie, essendo il c.d. decreto Paesi sicuri già oggetto, tra l’altro, di un contenzioso che, come detto, ha portato alla sollevazione di questione pregiudiziale dinnanzi alla Corte di Giustizia.</w:t>
      </w:r>
    </w:p>
    <w:p w14:paraId="4B6FECD1" w14:textId="171C3CF4" w:rsidR="00AA4BFD" w:rsidRPr="002A3647" w:rsidRDefault="00B97D1A" w:rsidP="007E48B9">
      <w:pPr>
        <w:spacing w:line="360" w:lineRule="auto"/>
        <w:ind w:firstLine="142"/>
        <w:jc w:val="both"/>
        <w:rPr>
          <w:rFonts w:ascii="Times New Roman" w:hAnsi="Times New Roman" w:cs="Times New Roman"/>
        </w:rPr>
      </w:pPr>
      <w:r w:rsidRPr="002A3647">
        <w:rPr>
          <w:rFonts w:ascii="Times New Roman" w:hAnsi="Times New Roman" w:cs="Times New Roman"/>
        </w:rPr>
        <w:t xml:space="preserve">Far confluire nella legge di conversione di altro decreto-legge i contenuti di analogo atto normativo successivo </w:t>
      </w:r>
      <w:r w:rsidR="00AA4BFD" w:rsidRPr="002A3647">
        <w:rPr>
          <w:rFonts w:ascii="Times New Roman" w:hAnsi="Times New Roman" w:cs="Times New Roman"/>
        </w:rPr>
        <w:t xml:space="preserve">può </w:t>
      </w:r>
      <w:r w:rsidRPr="002A3647">
        <w:rPr>
          <w:rFonts w:ascii="Times New Roman" w:hAnsi="Times New Roman" w:cs="Times New Roman"/>
        </w:rPr>
        <w:t>v</w:t>
      </w:r>
      <w:r w:rsidR="00AA4BFD" w:rsidRPr="002A3647">
        <w:rPr>
          <w:rFonts w:ascii="Times New Roman" w:hAnsi="Times New Roman" w:cs="Times New Roman"/>
        </w:rPr>
        <w:t>oler</w:t>
      </w:r>
      <w:r w:rsidRPr="002A3647">
        <w:rPr>
          <w:rFonts w:ascii="Times New Roman" w:hAnsi="Times New Roman" w:cs="Times New Roman"/>
        </w:rPr>
        <w:t xml:space="preserve"> dire</w:t>
      </w:r>
      <w:r w:rsidR="00AA4BFD" w:rsidRPr="002A3647">
        <w:rPr>
          <w:rFonts w:ascii="Times New Roman" w:hAnsi="Times New Roman" w:cs="Times New Roman"/>
        </w:rPr>
        <w:t>, insomma,</w:t>
      </w:r>
      <w:r w:rsidRPr="002A3647">
        <w:rPr>
          <w:rFonts w:ascii="Times New Roman" w:hAnsi="Times New Roman" w:cs="Times New Roman"/>
        </w:rPr>
        <w:t xml:space="preserve"> comprimere</w:t>
      </w:r>
      <w:r w:rsidR="00AA4BFD" w:rsidRPr="002A3647">
        <w:rPr>
          <w:rFonts w:ascii="Times New Roman" w:hAnsi="Times New Roman" w:cs="Times New Roman"/>
        </w:rPr>
        <w:t xml:space="preserve"> eccessivamente</w:t>
      </w:r>
      <w:r w:rsidRPr="002A3647">
        <w:rPr>
          <w:rFonts w:ascii="Times New Roman" w:hAnsi="Times New Roman" w:cs="Times New Roman"/>
        </w:rPr>
        <w:t xml:space="preserve"> i tempi della discussione parlamentare</w:t>
      </w:r>
      <w:r w:rsidR="00985F93" w:rsidRPr="002A3647">
        <w:rPr>
          <w:rFonts w:ascii="Times New Roman" w:hAnsi="Times New Roman" w:cs="Times New Roman"/>
        </w:rPr>
        <w:t xml:space="preserve">, riducendoli </w:t>
      </w:r>
      <w:r w:rsidR="00AA4BFD" w:rsidRPr="002A3647">
        <w:rPr>
          <w:rFonts w:ascii="Times New Roman" w:hAnsi="Times New Roman" w:cs="Times New Roman"/>
        </w:rPr>
        <w:t xml:space="preserve">sensibilmente </w:t>
      </w:r>
      <w:r w:rsidR="00985F93" w:rsidRPr="002A3647">
        <w:rPr>
          <w:rFonts w:ascii="Times New Roman" w:hAnsi="Times New Roman" w:cs="Times New Roman"/>
        </w:rPr>
        <w:t>rispetto ai sessanta giorni assegnati dalla Costituzione, fino</w:t>
      </w:r>
      <w:r w:rsidR="00AA4BFD" w:rsidRPr="002A3647">
        <w:rPr>
          <w:rFonts w:ascii="Times New Roman" w:hAnsi="Times New Roman" w:cs="Times New Roman"/>
        </w:rPr>
        <w:t xml:space="preserve"> addirittura</w:t>
      </w:r>
      <w:r w:rsidR="00985F93" w:rsidRPr="002A3647">
        <w:rPr>
          <w:rFonts w:ascii="Times New Roman" w:hAnsi="Times New Roman" w:cs="Times New Roman"/>
        </w:rPr>
        <w:t xml:space="preserve"> ad annullarl</w:t>
      </w:r>
      <w:r w:rsidR="008659EB" w:rsidRPr="002A3647">
        <w:rPr>
          <w:rFonts w:ascii="Times New Roman" w:hAnsi="Times New Roman" w:cs="Times New Roman"/>
        </w:rPr>
        <w:t>i</w:t>
      </w:r>
      <w:r w:rsidR="00985F93" w:rsidRPr="002A3647">
        <w:rPr>
          <w:rFonts w:ascii="Times New Roman" w:hAnsi="Times New Roman" w:cs="Times New Roman"/>
        </w:rPr>
        <w:t xml:space="preserve"> nel ramo del Parlamento</w:t>
      </w:r>
      <w:r w:rsidR="008659EB" w:rsidRPr="002A3647">
        <w:rPr>
          <w:rFonts w:ascii="Times New Roman" w:hAnsi="Times New Roman" w:cs="Times New Roman"/>
        </w:rPr>
        <w:t xml:space="preserve"> chiamato ad esprimersi per secondo</w:t>
      </w:r>
      <w:r w:rsidR="00985F93" w:rsidRPr="002A3647">
        <w:rPr>
          <w:rFonts w:ascii="Times New Roman" w:hAnsi="Times New Roman" w:cs="Times New Roman"/>
        </w:rPr>
        <w:t xml:space="preserve">, che </w:t>
      </w:r>
      <w:r w:rsidR="00AA4BFD" w:rsidRPr="002A3647">
        <w:rPr>
          <w:rFonts w:ascii="Times New Roman" w:hAnsi="Times New Roman" w:cs="Times New Roman"/>
        </w:rPr>
        <w:t>potrebbe avere</w:t>
      </w:r>
      <w:r w:rsidR="00985F93" w:rsidRPr="002A3647">
        <w:rPr>
          <w:rFonts w:ascii="Times New Roman" w:hAnsi="Times New Roman" w:cs="Times New Roman"/>
        </w:rPr>
        <w:t xml:space="preserve"> soltanto la possibilità di decidere in ordine alla ratifica o meno del testo trasmesso. Tutto ciò sarebbe ulteriormente aggravato dall’eventuale posizione della questione di fiducia, che spesso accompagna la presentazione del maxi-emendamento, prassi oggetto di reiterati moniti critici </w:t>
      </w:r>
      <w:r w:rsidR="008659EB" w:rsidRPr="002A3647">
        <w:rPr>
          <w:rFonts w:ascii="Times New Roman" w:hAnsi="Times New Roman" w:cs="Times New Roman"/>
        </w:rPr>
        <w:t xml:space="preserve">del </w:t>
      </w:r>
      <w:r w:rsidR="00985F93" w:rsidRPr="002A3647">
        <w:rPr>
          <w:rFonts w:ascii="Times New Roman" w:hAnsi="Times New Roman" w:cs="Times New Roman"/>
        </w:rPr>
        <w:t xml:space="preserve">Presidente della Repubblica. A quel punto </w:t>
      </w:r>
      <w:r w:rsidR="00050FA8">
        <w:rPr>
          <w:rFonts w:ascii="Times New Roman" w:hAnsi="Times New Roman" w:cs="Times New Roman"/>
        </w:rPr>
        <w:t xml:space="preserve">non </w:t>
      </w:r>
      <w:r w:rsidR="00985F93" w:rsidRPr="002A3647">
        <w:rPr>
          <w:rFonts w:ascii="Times New Roman" w:hAnsi="Times New Roman" w:cs="Times New Roman"/>
        </w:rPr>
        <w:t xml:space="preserve">avrei dubbi sul fatto che il ruolo riservato dalla Costituzione al Parlamento </w:t>
      </w:r>
      <w:r w:rsidR="00050FA8">
        <w:rPr>
          <w:rFonts w:ascii="Times New Roman" w:hAnsi="Times New Roman" w:cs="Times New Roman"/>
        </w:rPr>
        <w:t xml:space="preserve">non </w:t>
      </w:r>
      <w:r w:rsidR="00985F93" w:rsidRPr="002A3647">
        <w:rPr>
          <w:rFonts w:ascii="Times New Roman" w:hAnsi="Times New Roman" w:cs="Times New Roman"/>
        </w:rPr>
        <w:t xml:space="preserve">sia rispettato nel «suo significato sostanziale» – come richiede la Corte costituzionale – </w:t>
      </w:r>
      <w:r w:rsidR="00050FA8">
        <w:rPr>
          <w:rFonts w:ascii="Times New Roman" w:hAnsi="Times New Roman" w:cs="Times New Roman"/>
        </w:rPr>
        <w:t>e nemmeno, invero, che sia osservato anche solo formalmente (o «nominalmente», come scrive il giudice delle leggi).</w:t>
      </w:r>
      <w:r w:rsidR="00985F93" w:rsidRPr="002A3647">
        <w:rPr>
          <w:rFonts w:ascii="Times New Roman" w:hAnsi="Times New Roman" w:cs="Times New Roman"/>
        </w:rPr>
        <w:t xml:space="preserve"> </w:t>
      </w:r>
    </w:p>
    <w:p w14:paraId="072563C4" w14:textId="55410A8A" w:rsidR="00FF53D8" w:rsidRPr="002A3647" w:rsidRDefault="00FF53D8" w:rsidP="007E48B9">
      <w:pPr>
        <w:spacing w:line="360" w:lineRule="auto"/>
        <w:ind w:firstLine="142"/>
        <w:jc w:val="both"/>
        <w:rPr>
          <w:rFonts w:ascii="Times New Roman" w:hAnsi="Times New Roman" w:cs="Times New Roman"/>
        </w:rPr>
      </w:pPr>
      <w:r w:rsidRPr="002A3647">
        <w:rPr>
          <w:rFonts w:ascii="Times New Roman" w:hAnsi="Times New Roman" w:cs="Times New Roman"/>
        </w:rPr>
        <w:t>Ancorché la Corte costituzionale sia stata sinora assai prudente nel dare seguito all’apertura contenuta nell’ord. n. 17 del 2019 circa la legittimazione del singolo parlamentare a sollevare conflitto di attribuzion</w:t>
      </w:r>
      <w:r w:rsidR="00552A0B">
        <w:rPr>
          <w:rFonts w:ascii="Times New Roman" w:hAnsi="Times New Roman" w:cs="Times New Roman"/>
        </w:rPr>
        <w:t>e</w:t>
      </w:r>
      <w:r w:rsidRPr="002A3647">
        <w:rPr>
          <w:rFonts w:ascii="Times New Roman" w:hAnsi="Times New Roman" w:cs="Times New Roman"/>
        </w:rPr>
        <w:t>, nel caso di specie potrebbero individuarsene i presupposti, facendo anche leva su quanto di recente ribadito in altra</w:t>
      </w:r>
      <w:r w:rsidR="008659EB" w:rsidRPr="002A3647">
        <w:rPr>
          <w:rFonts w:ascii="Times New Roman" w:hAnsi="Times New Roman" w:cs="Times New Roman"/>
        </w:rPr>
        <w:t>, già richiamata,</w:t>
      </w:r>
      <w:r w:rsidRPr="002A3647">
        <w:rPr>
          <w:rFonts w:ascii="Times New Roman" w:hAnsi="Times New Roman" w:cs="Times New Roman"/>
        </w:rPr>
        <w:t xml:space="preserve"> decisione sempre riguardante la decretazione d’urgenza (sent. n. 146 del 2024): le minoranze politiche debbono poter esprimere e promuovere le loro posizioni in un dibattito trasparente, come si evince, tra l’altro, dal secondo comma dell’art. 64 Cost. </w:t>
      </w:r>
      <w:r w:rsidR="00073DD2" w:rsidRPr="002A3647">
        <w:rPr>
          <w:rFonts w:ascii="Times New Roman" w:hAnsi="Times New Roman" w:cs="Times New Roman"/>
        </w:rPr>
        <w:t>Se questa possibilità non fosse data, ben potrebbe essere argomentato il ricorre di «un abuso del procedimento legislativo tale da determinare quelle violazioni manifeste delle prerogative costituzionali dei parlamentari che assurgono a requisiti di ammissibilità» del conflitto, le quali, nell’ord. n. 17 del 2019, sono appunto ricondotte all’esigenza di tutela della fondamentale regola della democrazia rappresentativa per cui, come si è già detto, i parlamentari eletti debbono avere l’effettiva possibilità di contribuire alla formazione della volontà legislativa.</w:t>
      </w:r>
    </w:p>
    <w:p w14:paraId="4EFBF425" w14:textId="77777777" w:rsidR="00FA5FFC" w:rsidRDefault="006C61EE" w:rsidP="00C614E7">
      <w:pPr>
        <w:spacing w:line="360" w:lineRule="auto"/>
        <w:ind w:firstLine="142"/>
        <w:jc w:val="both"/>
        <w:rPr>
          <w:rFonts w:ascii="Times New Roman" w:hAnsi="Times New Roman" w:cs="Times New Roman"/>
        </w:rPr>
      </w:pPr>
      <w:r w:rsidRPr="002A3647">
        <w:rPr>
          <w:rFonts w:ascii="Times New Roman" w:hAnsi="Times New Roman" w:cs="Times New Roman"/>
        </w:rPr>
        <w:t>Giova ricordare</w:t>
      </w:r>
      <w:r w:rsidR="008924E4" w:rsidRPr="002A3647">
        <w:rPr>
          <w:rFonts w:ascii="Times New Roman" w:hAnsi="Times New Roman" w:cs="Times New Roman"/>
        </w:rPr>
        <w:t>, in conclusione,</w:t>
      </w:r>
      <w:r w:rsidRPr="002A3647">
        <w:rPr>
          <w:rFonts w:ascii="Times New Roman" w:hAnsi="Times New Roman" w:cs="Times New Roman"/>
        </w:rPr>
        <w:t xml:space="preserve"> le ragioni per cui nell’ord. n. 17 del 2019 fu dichiarato inammissibile il ricorso proposto dai singoli parlamentari </w:t>
      </w:r>
      <w:r w:rsidRPr="006C61EE">
        <w:rPr>
          <w:rFonts w:ascii="Times New Roman" w:hAnsi="Times New Roman" w:cs="Times New Roman"/>
        </w:rPr>
        <w:t xml:space="preserve">in relazione alle modalità con cui il Senato della Repubblica </w:t>
      </w:r>
      <w:r w:rsidRPr="002A3647">
        <w:rPr>
          <w:rFonts w:ascii="Times New Roman" w:hAnsi="Times New Roman" w:cs="Times New Roman"/>
        </w:rPr>
        <w:t>aveva</w:t>
      </w:r>
      <w:r w:rsidRPr="006C61EE">
        <w:rPr>
          <w:rFonts w:ascii="Times New Roman" w:hAnsi="Times New Roman" w:cs="Times New Roman"/>
        </w:rPr>
        <w:t xml:space="preserve"> approvato il disegno di legge</w:t>
      </w:r>
      <w:r w:rsidRPr="002A3647">
        <w:rPr>
          <w:rFonts w:ascii="Times New Roman" w:hAnsi="Times New Roman" w:cs="Times New Roman"/>
        </w:rPr>
        <w:t xml:space="preserve"> di bilancio</w:t>
      </w:r>
      <w:r w:rsidR="008924E4" w:rsidRPr="002A3647">
        <w:rPr>
          <w:rFonts w:ascii="Times New Roman" w:hAnsi="Times New Roman" w:cs="Times New Roman"/>
        </w:rPr>
        <w:t xml:space="preserve"> dal quale era scaturito quel conflitto</w:t>
      </w:r>
      <w:r w:rsidRPr="002A3647">
        <w:rPr>
          <w:rFonts w:ascii="Times New Roman" w:hAnsi="Times New Roman" w:cs="Times New Roman"/>
        </w:rPr>
        <w:t>. Nel ricorso si lamentava l</w:t>
      </w:r>
      <w:r w:rsidRPr="006C61EE">
        <w:rPr>
          <w:rFonts w:ascii="Times New Roman" w:hAnsi="Times New Roman" w:cs="Times New Roman"/>
        </w:rPr>
        <w:t>a grave compressione dei tempi di discussione determinatasi in particolare a seguito della presentazione da parte del Governo</w:t>
      </w:r>
      <w:r w:rsidRPr="002A3647">
        <w:rPr>
          <w:rFonts w:ascii="Times New Roman" w:hAnsi="Times New Roman" w:cs="Times New Roman"/>
        </w:rPr>
        <w:t xml:space="preserve"> di un maxi-emendamento</w:t>
      </w:r>
      <w:r w:rsidRPr="006C61EE">
        <w:rPr>
          <w:rFonts w:ascii="Times New Roman" w:hAnsi="Times New Roman" w:cs="Times New Roman"/>
        </w:rPr>
        <w:t xml:space="preserve">, interamente sostitutivo del disegno di legge originario, </w:t>
      </w:r>
      <w:r w:rsidRPr="002A3647">
        <w:rPr>
          <w:rFonts w:ascii="Times New Roman" w:hAnsi="Times New Roman" w:cs="Times New Roman"/>
        </w:rPr>
        <w:t>sottoposto a voto di fiducia.</w:t>
      </w:r>
      <w:r w:rsidR="000F7D24" w:rsidRPr="002A3647">
        <w:rPr>
          <w:rFonts w:ascii="Times New Roman" w:hAnsi="Times New Roman" w:cs="Times New Roman"/>
        </w:rPr>
        <w:t xml:space="preserve"> La Corte rilevò che in quell’occasione il disegno di le</w:t>
      </w:r>
      <w:r w:rsidRPr="002A3647">
        <w:rPr>
          <w:rFonts w:ascii="Times New Roman" w:hAnsi="Times New Roman" w:cs="Times New Roman"/>
        </w:rPr>
        <w:t xml:space="preserve">gge originario era </w:t>
      </w:r>
      <w:r w:rsidR="000F7D24" w:rsidRPr="002A3647">
        <w:rPr>
          <w:rFonts w:ascii="Times New Roman" w:hAnsi="Times New Roman" w:cs="Times New Roman"/>
        </w:rPr>
        <w:t xml:space="preserve">almeno </w:t>
      </w:r>
      <w:r w:rsidRPr="002A3647">
        <w:rPr>
          <w:rFonts w:ascii="Times New Roman" w:hAnsi="Times New Roman" w:cs="Times New Roman"/>
        </w:rPr>
        <w:t xml:space="preserve">già stato esaminato alla Camera dei deputati e ivi votato in commissione e in assemblea </w:t>
      </w:r>
      <w:r w:rsidR="000F7D24" w:rsidRPr="002A3647">
        <w:rPr>
          <w:rFonts w:ascii="Times New Roman" w:hAnsi="Times New Roman" w:cs="Times New Roman"/>
        </w:rPr>
        <w:t>(</w:t>
      </w:r>
      <w:r w:rsidRPr="002A3647">
        <w:rPr>
          <w:rFonts w:ascii="Times New Roman" w:hAnsi="Times New Roman" w:cs="Times New Roman"/>
        </w:rPr>
        <w:t>su di esso era in corso l’esame al Senato</w:t>
      </w:r>
      <w:r w:rsidR="000F7D24" w:rsidRPr="002A3647">
        <w:rPr>
          <w:rFonts w:ascii="Times New Roman" w:hAnsi="Times New Roman" w:cs="Times New Roman"/>
        </w:rPr>
        <w:t xml:space="preserve">) e che </w:t>
      </w:r>
      <w:r w:rsidRPr="002A3647">
        <w:rPr>
          <w:rFonts w:ascii="Times New Roman" w:hAnsi="Times New Roman" w:cs="Times New Roman"/>
        </w:rPr>
        <w:t>il nuovo testo recepiva almeno in parte i lavori parlamentari svoltisi fino a quel momento</w:t>
      </w:r>
      <w:r w:rsidR="000F7D24" w:rsidRPr="002A3647">
        <w:rPr>
          <w:rFonts w:ascii="Times New Roman" w:hAnsi="Times New Roman" w:cs="Times New Roman"/>
        </w:rPr>
        <w:t>. Senza trascurare che i «</w:t>
      </w:r>
      <w:r w:rsidRPr="006C61EE">
        <w:rPr>
          <w:rFonts w:ascii="Times New Roman" w:hAnsi="Times New Roman" w:cs="Times New Roman"/>
        </w:rPr>
        <w:t>lavori sono avvenuti sotto la pressione del tempo dovuta alla lunga interlocuzione con le istituzioni europee</w:t>
      </w:r>
      <w:r w:rsidR="00B66691" w:rsidRPr="002A3647">
        <w:rPr>
          <w:rFonts w:ascii="Times New Roman" w:hAnsi="Times New Roman" w:cs="Times New Roman"/>
        </w:rPr>
        <w:t>», non precludendo «</w:t>
      </w:r>
      <w:r w:rsidRPr="006C61EE">
        <w:rPr>
          <w:rFonts w:ascii="Times New Roman" w:hAnsi="Times New Roman" w:cs="Times New Roman"/>
        </w:rPr>
        <w:t>una effettiva discussione nelle fasi precedenti su testi confluiti almeno in parte nella versione finale</w:t>
      </w:r>
      <w:r w:rsidR="000F7D24" w:rsidRPr="002A3647">
        <w:rPr>
          <w:rFonts w:ascii="Times New Roman" w:hAnsi="Times New Roman" w:cs="Times New Roman"/>
        </w:rPr>
        <w:t>»</w:t>
      </w:r>
      <w:r w:rsidRPr="006C61EE">
        <w:rPr>
          <w:rFonts w:ascii="Times New Roman" w:hAnsi="Times New Roman" w:cs="Times New Roman"/>
        </w:rPr>
        <w:t>.</w:t>
      </w:r>
      <w:r w:rsidR="000F7D24" w:rsidRPr="002A3647">
        <w:rPr>
          <w:rFonts w:ascii="Times New Roman" w:hAnsi="Times New Roman" w:cs="Times New Roman"/>
        </w:rPr>
        <w:t xml:space="preserve"> Si tratta di condizioni che non ricorrono </w:t>
      </w:r>
      <w:r w:rsidR="008924E4" w:rsidRPr="002A3647">
        <w:rPr>
          <w:rFonts w:ascii="Times New Roman" w:hAnsi="Times New Roman" w:cs="Times New Roman"/>
        </w:rPr>
        <w:t>nella</w:t>
      </w:r>
      <w:r w:rsidR="000F7D24" w:rsidRPr="002A3647">
        <w:rPr>
          <w:rFonts w:ascii="Times New Roman" w:hAnsi="Times New Roman" w:cs="Times New Roman"/>
        </w:rPr>
        <w:t xml:space="preserve"> vicenda dell’odierno decreto oggetto di “</w:t>
      </w:r>
      <w:r w:rsidR="000F7D24" w:rsidRPr="00C614E7">
        <w:rPr>
          <w:rFonts w:ascii="Times New Roman" w:hAnsi="Times New Roman" w:cs="Times New Roman"/>
        </w:rPr>
        <w:t>confluenza”, il cui esame parlamentare non risulta nemmeno iniziato, ben potendo la stessa rientrare tra quelle «altre situazioni» – come scrive la Corte al termine dell’ord. n. 17 del 2019 – in cui «</w:t>
      </w:r>
      <w:r w:rsidRPr="00C614E7">
        <w:rPr>
          <w:rFonts w:ascii="Times New Roman" w:hAnsi="Times New Roman" w:cs="Times New Roman"/>
        </w:rPr>
        <w:t>una simile compressione della funzione costituzionale dei parlamentari potrebbe portare a esiti differenti</w:t>
      </w:r>
      <w:r w:rsidR="000F7D24" w:rsidRPr="00C614E7">
        <w:rPr>
          <w:rFonts w:ascii="Times New Roman" w:hAnsi="Times New Roman" w:cs="Times New Roman"/>
        </w:rPr>
        <w:t>»</w:t>
      </w:r>
      <w:r w:rsidRPr="00C614E7">
        <w:rPr>
          <w:rFonts w:ascii="Times New Roman" w:hAnsi="Times New Roman" w:cs="Times New Roman"/>
        </w:rPr>
        <w:t>.</w:t>
      </w:r>
      <w:r w:rsidR="00C614E7" w:rsidRPr="00C614E7">
        <w:rPr>
          <w:rFonts w:ascii="Times New Roman" w:hAnsi="Times New Roman" w:cs="Times New Roman"/>
        </w:rPr>
        <w:t xml:space="preserve"> </w:t>
      </w:r>
    </w:p>
    <w:p w14:paraId="1F2F504F" w14:textId="221254DD" w:rsidR="00B77521" w:rsidRPr="00C614E7" w:rsidRDefault="00C614E7" w:rsidP="00B77521">
      <w:pPr>
        <w:spacing w:line="360" w:lineRule="auto"/>
        <w:ind w:firstLine="142"/>
        <w:jc w:val="both"/>
        <w:rPr>
          <w:rFonts w:ascii="Times New Roman" w:hAnsi="Times New Roman" w:cs="Times New Roman"/>
        </w:rPr>
      </w:pPr>
      <w:r w:rsidRPr="00C614E7">
        <w:rPr>
          <w:rFonts w:ascii="Times New Roman" w:hAnsi="Times New Roman" w:cs="Times New Roman"/>
        </w:rPr>
        <w:t>Insomma, diversamente da quanto accaduto in occasione di conflitti</w:t>
      </w:r>
      <w:r w:rsidR="00B77521">
        <w:rPr>
          <w:rFonts w:ascii="Times New Roman" w:hAnsi="Times New Roman" w:cs="Times New Roman"/>
        </w:rPr>
        <w:t xml:space="preserve"> di attribuzione</w:t>
      </w:r>
      <w:r w:rsidRPr="00C614E7">
        <w:rPr>
          <w:rFonts w:ascii="Times New Roman" w:hAnsi="Times New Roman" w:cs="Times New Roman"/>
        </w:rPr>
        <w:t xml:space="preserve"> sollevati successivamente all’ord. n. 17 del 2019 (</w:t>
      </w:r>
      <w:r>
        <w:rPr>
          <w:rFonts w:ascii="Times New Roman" w:hAnsi="Times New Roman" w:cs="Times New Roman"/>
        </w:rPr>
        <w:t xml:space="preserve">si vedano, </w:t>
      </w:r>
      <w:r w:rsidRPr="00C614E7">
        <w:rPr>
          <w:rFonts w:ascii="Times New Roman" w:hAnsi="Times New Roman" w:cs="Times New Roman"/>
        </w:rPr>
        <w:t>in particolare, ordinanze nn. 27</w:t>
      </w:r>
      <w:r>
        <w:rPr>
          <w:rFonts w:ascii="Times New Roman" w:hAnsi="Times New Roman" w:cs="Times New Roman"/>
        </w:rPr>
        <w:t>4</w:t>
      </w:r>
      <w:r w:rsidRPr="00C614E7">
        <w:rPr>
          <w:rFonts w:ascii="Times New Roman" w:hAnsi="Times New Roman" w:cs="Times New Roman"/>
        </w:rPr>
        <w:t xml:space="preserve"> e 275 del 2019, 197 del 2020, 186, 255 e 256 del 2021, 80 del 2002), nella specie potrebbero riscontrarsi quelle «</w:t>
      </w:r>
      <w:r w:rsidRPr="00C614E7">
        <w:rPr>
          <w:rFonts w:ascii="Times New Roman" w:hAnsi="Times New Roman" w:cs="Times New Roman"/>
          <w:i/>
          <w:iCs/>
        </w:rPr>
        <w:t>violazioni manifeste</w:t>
      </w:r>
      <w:r w:rsidRPr="00C614E7">
        <w:rPr>
          <w:rFonts w:ascii="Times New Roman" w:hAnsi="Times New Roman" w:cs="Times New Roman"/>
        </w:rPr>
        <w:t xml:space="preserve">» delle prerogative costituzionali </w:t>
      </w:r>
      <w:r w:rsidR="00B77521">
        <w:rPr>
          <w:rFonts w:ascii="Times New Roman" w:hAnsi="Times New Roman" w:cs="Times New Roman"/>
        </w:rPr>
        <w:t>de</w:t>
      </w:r>
      <w:r w:rsidR="006D23F4">
        <w:rPr>
          <w:rFonts w:ascii="Times New Roman" w:hAnsi="Times New Roman" w:cs="Times New Roman"/>
        </w:rPr>
        <w:t>l</w:t>
      </w:r>
      <w:r w:rsidR="00B77521">
        <w:rPr>
          <w:rFonts w:ascii="Times New Roman" w:hAnsi="Times New Roman" w:cs="Times New Roman"/>
        </w:rPr>
        <w:t xml:space="preserve"> parlamentar</w:t>
      </w:r>
      <w:r w:rsidR="006D23F4">
        <w:rPr>
          <w:rFonts w:ascii="Times New Roman" w:hAnsi="Times New Roman" w:cs="Times New Roman"/>
        </w:rPr>
        <w:t>e</w:t>
      </w:r>
      <w:r w:rsidR="00B77521">
        <w:rPr>
          <w:rFonts w:ascii="Times New Roman" w:hAnsi="Times New Roman" w:cs="Times New Roman"/>
        </w:rPr>
        <w:t xml:space="preserve"> nel</w:t>
      </w:r>
      <w:r w:rsidRPr="00C614E7">
        <w:rPr>
          <w:rFonts w:ascii="Times New Roman" w:hAnsi="Times New Roman" w:cs="Times New Roman"/>
        </w:rPr>
        <w:t xml:space="preserve"> momento deliberativo, che trovano in particolare fondamento negli artt. </w:t>
      </w:r>
      <w:r w:rsidR="00FA5FFC">
        <w:rPr>
          <w:rFonts w:ascii="Times New Roman" w:hAnsi="Times New Roman" w:cs="Times New Roman"/>
        </w:rPr>
        <w:t xml:space="preserve">64, secondo comma (diritto a esprimere la propria posizione in un dibattito trasparente), </w:t>
      </w:r>
      <w:r w:rsidRPr="00C614E7">
        <w:rPr>
          <w:rFonts w:ascii="Times New Roman" w:hAnsi="Times New Roman" w:cs="Times New Roman"/>
        </w:rPr>
        <w:t>67 (facoltà di partecipare alle discussion</w:t>
      </w:r>
      <w:r>
        <w:rPr>
          <w:rFonts w:ascii="Times New Roman" w:hAnsi="Times New Roman" w:cs="Times New Roman"/>
        </w:rPr>
        <w:t>i</w:t>
      </w:r>
      <w:r w:rsidRPr="00C614E7">
        <w:rPr>
          <w:rFonts w:ascii="Times New Roman" w:hAnsi="Times New Roman" w:cs="Times New Roman"/>
        </w:rPr>
        <w:t xml:space="preserve"> e deliberazioni</w:t>
      </w:r>
      <w:r w:rsidR="00B77521">
        <w:rPr>
          <w:rFonts w:ascii="Times New Roman" w:hAnsi="Times New Roman" w:cs="Times New Roman"/>
        </w:rPr>
        <w:t xml:space="preserve"> nel libero esercizio del mandato</w:t>
      </w:r>
      <w:r w:rsidRPr="00C614E7">
        <w:rPr>
          <w:rFonts w:ascii="Times New Roman" w:hAnsi="Times New Roman" w:cs="Times New Roman"/>
        </w:rPr>
        <w:t>), 68</w:t>
      </w:r>
      <w:r w:rsidR="00FA5FFC">
        <w:rPr>
          <w:rFonts w:ascii="Times New Roman" w:hAnsi="Times New Roman" w:cs="Times New Roman"/>
        </w:rPr>
        <w:t>, primo comma</w:t>
      </w:r>
      <w:r w:rsidRPr="00C614E7">
        <w:rPr>
          <w:rFonts w:ascii="Times New Roman" w:hAnsi="Times New Roman" w:cs="Times New Roman"/>
        </w:rPr>
        <w:t xml:space="preserve"> (diritto a esprimere opinioni e voti), 71</w:t>
      </w:r>
      <w:r w:rsidR="00FA5FFC">
        <w:rPr>
          <w:rFonts w:ascii="Times New Roman" w:hAnsi="Times New Roman" w:cs="Times New Roman"/>
        </w:rPr>
        <w:t>, primo comma</w:t>
      </w:r>
      <w:r w:rsidRPr="00C614E7">
        <w:rPr>
          <w:rFonts w:ascii="Times New Roman" w:hAnsi="Times New Roman" w:cs="Times New Roman"/>
        </w:rPr>
        <w:t xml:space="preserve"> (diritto a esercitare l’iniziativa legislativa anche per mezzo della proposizione di emendamenti)</w:t>
      </w:r>
      <w:r w:rsidR="00B77521">
        <w:rPr>
          <w:rFonts w:ascii="Times New Roman" w:hAnsi="Times New Roman" w:cs="Times New Roman"/>
        </w:rPr>
        <w:t xml:space="preserve">, </w:t>
      </w:r>
      <w:r w:rsidRPr="00C614E7">
        <w:rPr>
          <w:rFonts w:ascii="Times New Roman" w:hAnsi="Times New Roman" w:cs="Times New Roman"/>
        </w:rPr>
        <w:t>72</w:t>
      </w:r>
      <w:r w:rsidR="00FA5FFC">
        <w:rPr>
          <w:rFonts w:ascii="Times New Roman" w:hAnsi="Times New Roman" w:cs="Times New Roman"/>
        </w:rPr>
        <w:t>, primo comma</w:t>
      </w:r>
      <w:r w:rsidRPr="00C614E7">
        <w:rPr>
          <w:rFonts w:ascii="Times New Roman" w:hAnsi="Times New Roman" w:cs="Times New Roman"/>
        </w:rPr>
        <w:t xml:space="preserve"> (diritto di </w:t>
      </w:r>
      <w:r w:rsidR="00B77521">
        <w:rPr>
          <w:rFonts w:ascii="Times New Roman" w:hAnsi="Times New Roman" w:cs="Times New Roman"/>
        </w:rPr>
        <w:t>esercitare effettivamente, in commissione e in assemblea,</w:t>
      </w:r>
      <w:r w:rsidR="00B77521" w:rsidRPr="00B77521">
        <w:rPr>
          <w:rFonts w:ascii="Times New Roman" w:hAnsi="Times New Roman" w:cs="Times New Roman"/>
        </w:rPr>
        <w:t xml:space="preserve"> le facoltà di esame, valutazione, emendamento</w:t>
      </w:r>
      <w:r w:rsidR="00B77521">
        <w:rPr>
          <w:rFonts w:ascii="Times New Roman" w:hAnsi="Times New Roman" w:cs="Times New Roman"/>
        </w:rPr>
        <w:t>)</w:t>
      </w:r>
      <w:r w:rsidR="00B77521" w:rsidRPr="00B77521">
        <w:rPr>
          <w:rFonts w:ascii="Times New Roman" w:hAnsi="Times New Roman" w:cs="Times New Roman"/>
        </w:rPr>
        <w:t xml:space="preserve">, </w:t>
      </w:r>
      <w:r w:rsidR="00B77521">
        <w:rPr>
          <w:rFonts w:ascii="Times New Roman" w:hAnsi="Times New Roman" w:cs="Times New Roman"/>
        </w:rPr>
        <w:t xml:space="preserve">nonché 70 e 77 (potendosi al riguardo dedurre la negazione dell’essenza stessa </w:t>
      </w:r>
      <w:r w:rsidR="00B77521" w:rsidRPr="00B77521">
        <w:rPr>
          <w:rFonts w:ascii="Times New Roman" w:hAnsi="Times New Roman" w:cs="Times New Roman"/>
        </w:rPr>
        <w:t>della funzione legislativa delle Camere,</w:t>
      </w:r>
      <w:r w:rsidR="00B77521">
        <w:rPr>
          <w:rFonts w:ascii="Times New Roman" w:hAnsi="Times New Roman" w:cs="Times New Roman"/>
        </w:rPr>
        <w:t xml:space="preserve"> ove sia loro imposto </w:t>
      </w:r>
      <w:r w:rsidR="00B77521" w:rsidRPr="00B77521">
        <w:rPr>
          <w:rFonts w:ascii="Times New Roman" w:hAnsi="Times New Roman" w:cs="Times New Roman"/>
        </w:rPr>
        <w:t>di ratificare scelte maturate altrove</w:t>
      </w:r>
      <w:r w:rsidR="00B77521">
        <w:rPr>
          <w:rFonts w:ascii="Times New Roman" w:hAnsi="Times New Roman" w:cs="Times New Roman"/>
        </w:rPr>
        <w:t>).</w:t>
      </w:r>
    </w:p>
    <w:p w14:paraId="33219A43" w14:textId="531DC457" w:rsidR="003E489A" w:rsidRPr="002A3647" w:rsidRDefault="00924FA2" w:rsidP="00B616CA">
      <w:pPr>
        <w:spacing w:line="360" w:lineRule="auto"/>
        <w:ind w:firstLine="142"/>
        <w:jc w:val="both"/>
        <w:rPr>
          <w:rFonts w:ascii="Times New Roman" w:hAnsi="Times New Roman" w:cs="Times New Roman"/>
        </w:rPr>
      </w:pPr>
      <w:r w:rsidRPr="00C614E7">
        <w:rPr>
          <w:rFonts w:ascii="Times New Roman" w:hAnsi="Times New Roman" w:cs="Times New Roman"/>
          <w:color w:val="000000" w:themeColor="text1"/>
        </w:rPr>
        <w:t>Da costituzionalista, che crede nella centralità del Parlamento, auspico</w:t>
      </w:r>
      <w:r w:rsidR="008924E4" w:rsidRPr="00C614E7">
        <w:rPr>
          <w:rFonts w:ascii="Times New Roman" w:hAnsi="Times New Roman" w:cs="Times New Roman"/>
          <w:color w:val="000000" w:themeColor="text1"/>
        </w:rPr>
        <w:t xml:space="preserve"> che gli elementi</w:t>
      </w:r>
      <w:r w:rsidR="008924E4" w:rsidRPr="002A3647">
        <w:rPr>
          <w:rFonts w:ascii="Times New Roman" w:hAnsi="Times New Roman" w:cs="Times New Roman"/>
          <w:color w:val="000000" w:themeColor="text1"/>
        </w:rPr>
        <w:t xml:space="preserve"> di riflessione offerti inducano ad abbandonare l</w:t>
      </w:r>
      <w:r w:rsidRPr="002A3647">
        <w:rPr>
          <w:rFonts w:ascii="Times New Roman" w:hAnsi="Times New Roman" w:cs="Times New Roman"/>
          <w:color w:val="000000" w:themeColor="text1"/>
        </w:rPr>
        <w:t>a strada</w:t>
      </w:r>
      <w:r w:rsidR="008924E4" w:rsidRPr="002A3647">
        <w:rPr>
          <w:rFonts w:ascii="Times New Roman" w:hAnsi="Times New Roman" w:cs="Times New Roman"/>
          <w:color w:val="000000" w:themeColor="text1"/>
        </w:rPr>
        <w:t xml:space="preserve"> intrapresa con la presentazione</w:t>
      </w:r>
      <w:r w:rsidRPr="002A3647">
        <w:rPr>
          <w:rFonts w:ascii="Times New Roman" w:hAnsi="Times New Roman" w:cs="Times New Roman"/>
          <w:color w:val="000000" w:themeColor="text1"/>
        </w:rPr>
        <w:t xml:space="preserve"> dell’emendamento oggetto di esame</w:t>
      </w:r>
      <w:r w:rsidR="008924E4" w:rsidRPr="002A3647">
        <w:rPr>
          <w:rFonts w:ascii="Times New Roman" w:hAnsi="Times New Roman" w:cs="Times New Roman"/>
          <w:color w:val="000000" w:themeColor="text1"/>
        </w:rPr>
        <w:t>, non restando altrimenti che</w:t>
      </w:r>
      <w:r w:rsidRPr="002A3647">
        <w:rPr>
          <w:rFonts w:ascii="Times New Roman" w:hAnsi="Times New Roman" w:cs="Times New Roman"/>
          <w:color w:val="000000" w:themeColor="text1"/>
        </w:rPr>
        <w:t xml:space="preserve"> la via, pure praticabile, del conflitto di attribuzion</w:t>
      </w:r>
      <w:r w:rsidR="00552A0B">
        <w:rPr>
          <w:rFonts w:ascii="Times New Roman" w:hAnsi="Times New Roman" w:cs="Times New Roman"/>
          <w:color w:val="000000" w:themeColor="text1"/>
        </w:rPr>
        <w:t>e</w:t>
      </w:r>
      <w:r w:rsidR="003E489A" w:rsidRPr="002A3647">
        <w:rPr>
          <w:rFonts w:ascii="Times New Roman" w:hAnsi="Times New Roman" w:cs="Times New Roman"/>
          <w:color w:val="000000" w:themeColor="text1"/>
        </w:rPr>
        <w:t xml:space="preserve">. </w:t>
      </w:r>
      <w:r w:rsidR="00B66691" w:rsidRPr="002A3647">
        <w:rPr>
          <w:rFonts w:ascii="Times New Roman" w:hAnsi="Times New Roman" w:cs="Times New Roman"/>
          <w:color w:val="000000" w:themeColor="text1"/>
        </w:rPr>
        <w:t xml:space="preserve">Ritengo prioritaria e preferibile la prima strada nel profondo convincimento che debbano essere </w:t>
      </w:r>
      <w:r w:rsidR="00B616CA" w:rsidRPr="002A3647">
        <w:rPr>
          <w:rFonts w:ascii="Times New Roman" w:hAnsi="Times New Roman" w:cs="Times New Roman"/>
          <w:color w:val="000000" w:themeColor="text1"/>
        </w:rPr>
        <w:t xml:space="preserve">anzitutto </w:t>
      </w:r>
      <w:r w:rsidR="003E489A" w:rsidRPr="002A3647">
        <w:rPr>
          <w:rFonts w:ascii="Times New Roman" w:hAnsi="Times New Roman" w:cs="Times New Roman"/>
          <w:color w:val="000000" w:themeColor="text1"/>
        </w:rPr>
        <w:t xml:space="preserve">le Camere a difendere le proprie prerogative, </w:t>
      </w:r>
      <w:r w:rsidR="004F421D">
        <w:rPr>
          <w:rFonts w:ascii="Times New Roman" w:hAnsi="Times New Roman" w:cs="Times New Roman"/>
          <w:color w:val="000000" w:themeColor="text1"/>
        </w:rPr>
        <w:t xml:space="preserve">senza “scaricare” questo compito sulla Corte costituzionale e finalmente </w:t>
      </w:r>
      <w:r w:rsidR="003E489A" w:rsidRPr="002A3647">
        <w:rPr>
          <w:rFonts w:ascii="Times New Roman" w:hAnsi="Times New Roman" w:cs="Times New Roman"/>
        </w:rPr>
        <w:t xml:space="preserve">rifiutandosi di divenire sedi di ratifica delle decisioni del Governo. </w:t>
      </w:r>
    </w:p>
    <w:sectPr w:rsidR="003E489A" w:rsidRPr="002A3647" w:rsidSect="0033523A">
      <w:footerReference w:type="even" r:id="rId8"/>
      <w:footerReference w:type="default" r:id="rId9"/>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E15CB7" w14:textId="77777777" w:rsidR="006B278A" w:rsidRDefault="006B278A" w:rsidP="007E48B9">
      <w:r>
        <w:separator/>
      </w:r>
    </w:p>
  </w:endnote>
  <w:endnote w:type="continuationSeparator" w:id="0">
    <w:p w14:paraId="2169008C" w14:textId="77777777" w:rsidR="006B278A" w:rsidRDefault="006B278A" w:rsidP="007E4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ymbol">
    <w:panose1 w:val="05050102010706020507"/>
    <w:charset w:val="02"/>
    <w:family w:val="decorative"/>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eropagina"/>
      </w:rPr>
      <w:id w:val="-766003068"/>
      <w:docPartObj>
        <w:docPartGallery w:val="Page Numbers (Bottom of Page)"/>
        <w:docPartUnique/>
      </w:docPartObj>
    </w:sdtPr>
    <w:sdtEndPr>
      <w:rPr>
        <w:rStyle w:val="Numeropagina"/>
      </w:rPr>
    </w:sdtEndPr>
    <w:sdtContent>
      <w:p w14:paraId="44C54F0E" w14:textId="4201EFB1" w:rsidR="007E48B9" w:rsidRDefault="007E48B9" w:rsidP="00321734">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039D4DFB" w14:textId="77777777" w:rsidR="007E48B9" w:rsidRDefault="007E48B9" w:rsidP="007E48B9">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eropagina"/>
      </w:rPr>
      <w:id w:val="-269630936"/>
      <w:docPartObj>
        <w:docPartGallery w:val="Page Numbers (Bottom of Page)"/>
        <w:docPartUnique/>
      </w:docPartObj>
    </w:sdtPr>
    <w:sdtEndPr>
      <w:rPr>
        <w:rStyle w:val="Numeropagina"/>
      </w:rPr>
    </w:sdtEndPr>
    <w:sdtContent>
      <w:p w14:paraId="6570E63D" w14:textId="1B5A3F31" w:rsidR="007E48B9" w:rsidRDefault="007E48B9" w:rsidP="00321734">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14:paraId="6ECA6426" w14:textId="77777777" w:rsidR="007E48B9" w:rsidRDefault="007E48B9" w:rsidP="007E48B9">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6BE4A2" w14:textId="77777777" w:rsidR="006B278A" w:rsidRDefault="006B278A" w:rsidP="007E48B9">
      <w:r>
        <w:separator/>
      </w:r>
    </w:p>
  </w:footnote>
  <w:footnote w:type="continuationSeparator" w:id="0">
    <w:p w14:paraId="408C16C2" w14:textId="77777777" w:rsidR="006B278A" w:rsidRDefault="006B278A" w:rsidP="007E48B9">
      <w:r>
        <w:continuationSeparator/>
      </w:r>
    </w:p>
  </w:footnote>
  <w:footnote w:id="1">
    <w:p w14:paraId="7779F59A" w14:textId="43FBAF4D" w:rsidR="00714D91" w:rsidRPr="00714D91" w:rsidRDefault="00714D91">
      <w:pPr>
        <w:pStyle w:val="Testonotaapidipagina"/>
        <w:rPr>
          <w:rFonts w:ascii="Times New Roman" w:hAnsi="Times New Roman" w:cs="Times New Roman"/>
        </w:rPr>
      </w:pPr>
      <w:r w:rsidRPr="00714D91">
        <w:rPr>
          <w:rStyle w:val="Rimandonotaapidipagina"/>
          <w:rFonts w:ascii="Times New Roman" w:hAnsi="Times New Roman" w:cs="Times New Roman"/>
        </w:rPr>
        <w:sym w:font="Symbol" w:char="F02A"/>
      </w:r>
      <w:r w:rsidRPr="00714D91">
        <w:rPr>
          <w:rFonts w:ascii="Times New Roman" w:hAnsi="Times New Roman" w:cs="Times New Roman"/>
        </w:rPr>
        <w:t xml:space="preserve"> Professore ordinario di Diritto costituzionale presso il Dipartimento di Giurisprudenza dell’Università Roma Tre.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5C6210"/>
    <w:multiLevelType w:val="hybridMultilevel"/>
    <w:tmpl w:val="E7403CCC"/>
    <w:lvl w:ilvl="0" w:tplc="9AF64790">
      <w:start w:val="1"/>
      <w:numFmt w:val="decimal"/>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num w:numId="1" w16cid:durableId="3445241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721"/>
    <w:rsid w:val="000022CC"/>
    <w:rsid w:val="00050FA8"/>
    <w:rsid w:val="00073DD2"/>
    <w:rsid w:val="000E50F0"/>
    <w:rsid w:val="000F75A8"/>
    <w:rsid w:val="000F7D24"/>
    <w:rsid w:val="00131F4F"/>
    <w:rsid w:val="001426BA"/>
    <w:rsid w:val="001823A1"/>
    <w:rsid w:val="0026318E"/>
    <w:rsid w:val="00271EDE"/>
    <w:rsid w:val="00275A9C"/>
    <w:rsid w:val="0028692E"/>
    <w:rsid w:val="002A3647"/>
    <w:rsid w:val="00303D09"/>
    <w:rsid w:val="00331EA9"/>
    <w:rsid w:val="00334043"/>
    <w:rsid w:val="0033523A"/>
    <w:rsid w:val="003C604F"/>
    <w:rsid w:val="003E489A"/>
    <w:rsid w:val="00427F39"/>
    <w:rsid w:val="004801E7"/>
    <w:rsid w:val="004B5008"/>
    <w:rsid w:val="004F421D"/>
    <w:rsid w:val="00520C61"/>
    <w:rsid w:val="005267AD"/>
    <w:rsid w:val="00552A0B"/>
    <w:rsid w:val="005854A1"/>
    <w:rsid w:val="00585C8D"/>
    <w:rsid w:val="006A4398"/>
    <w:rsid w:val="006B278A"/>
    <w:rsid w:val="006B714C"/>
    <w:rsid w:val="006C61EE"/>
    <w:rsid w:val="006D23F4"/>
    <w:rsid w:val="006D6721"/>
    <w:rsid w:val="00714D91"/>
    <w:rsid w:val="00715E8E"/>
    <w:rsid w:val="00744101"/>
    <w:rsid w:val="00747B58"/>
    <w:rsid w:val="007E48B9"/>
    <w:rsid w:val="00800A13"/>
    <w:rsid w:val="00840D06"/>
    <w:rsid w:val="008659EB"/>
    <w:rsid w:val="008911F3"/>
    <w:rsid w:val="008924E4"/>
    <w:rsid w:val="008A6CA5"/>
    <w:rsid w:val="008E06F3"/>
    <w:rsid w:val="00924FA2"/>
    <w:rsid w:val="009762C2"/>
    <w:rsid w:val="00985F93"/>
    <w:rsid w:val="009A112C"/>
    <w:rsid w:val="009D3A5E"/>
    <w:rsid w:val="009F5284"/>
    <w:rsid w:val="00A27E51"/>
    <w:rsid w:val="00A774F9"/>
    <w:rsid w:val="00AA4BFD"/>
    <w:rsid w:val="00B608CB"/>
    <w:rsid w:val="00B616CA"/>
    <w:rsid w:val="00B66691"/>
    <w:rsid w:val="00B77521"/>
    <w:rsid w:val="00B97D1A"/>
    <w:rsid w:val="00BA14B4"/>
    <w:rsid w:val="00BE3E11"/>
    <w:rsid w:val="00C614E7"/>
    <w:rsid w:val="00C86FA9"/>
    <w:rsid w:val="00CE2DB8"/>
    <w:rsid w:val="00D01DC8"/>
    <w:rsid w:val="00D15DE3"/>
    <w:rsid w:val="00D454CF"/>
    <w:rsid w:val="00D467C7"/>
    <w:rsid w:val="00D52176"/>
    <w:rsid w:val="00D54468"/>
    <w:rsid w:val="00DE57B3"/>
    <w:rsid w:val="00E2113D"/>
    <w:rsid w:val="00E8452C"/>
    <w:rsid w:val="00EE6768"/>
    <w:rsid w:val="00FA5FFC"/>
    <w:rsid w:val="00FC4A36"/>
    <w:rsid w:val="00FF53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6995BEDA"/>
  <w15:chartTrackingRefBased/>
  <w15:docId w15:val="{528B19ED-B9F0-1941-8E71-27ECAEDCB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6D67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6D67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6D6721"/>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6D6721"/>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6D6721"/>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6D6721"/>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6D6721"/>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6D6721"/>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6D6721"/>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D6721"/>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6D6721"/>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6D6721"/>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6D6721"/>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6D6721"/>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6D6721"/>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6D6721"/>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6D6721"/>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6D6721"/>
    <w:rPr>
      <w:rFonts w:eastAsiaTheme="majorEastAsia" w:cstheme="majorBidi"/>
      <w:color w:val="272727" w:themeColor="text1" w:themeTint="D8"/>
    </w:rPr>
  </w:style>
  <w:style w:type="paragraph" w:styleId="Titolo">
    <w:name w:val="Title"/>
    <w:basedOn w:val="Normale"/>
    <w:next w:val="Normale"/>
    <w:link w:val="TitoloCarattere"/>
    <w:uiPriority w:val="10"/>
    <w:qFormat/>
    <w:rsid w:val="006D6721"/>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6D6721"/>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6D6721"/>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6D6721"/>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6D6721"/>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6D6721"/>
    <w:rPr>
      <w:i/>
      <w:iCs/>
      <w:color w:val="404040" w:themeColor="text1" w:themeTint="BF"/>
    </w:rPr>
  </w:style>
  <w:style w:type="paragraph" w:styleId="Paragrafoelenco">
    <w:name w:val="List Paragraph"/>
    <w:basedOn w:val="Normale"/>
    <w:uiPriority w:val="34"/>
    <w:qFormat/>
    <w:rsid w:val="006D6721"/>
    <w:pPr>
      <w:ind w:left="720"/>
      <w:contextualSpacing/>
    </w:pPr>
  </w:style>
  <w:style w:type="character" w:styleId="Enfasiintensa">
    <w:name w:val="Intense Emphasis"/>
    <w:basedOn w:val="Carpredefinitoparagrafo"/>
    <w:uiPriority w:val="21"/>
    <w:qFormat/>
    <w:rsid w:val="006D6721"/>
    <w:rPr>
      <w:i/>
      <w:iCs/>
      <w:color w:val="0F4761" w:themeColor="accent1" w:themeShade="BF"/>
    </w:rPr>
  </w:style>
  <w:style w:type="paragraph" w:styleId="Citazioneintensa">
    <w:name w:val="Intense Quote"/>
    <w:basedOn w:val="Normale"/>
    <w:next w:val="Normale"/>
    <w:link w:val="CitazioneintensaCarattere"/>
    <w:uiPriority w:val="30"/>
    <w:qFormat/>
    <w:rsid w:val="006D67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6D6721"/>
    <w:rPr>
      <w:i/>
      <w:iCs/>
      <w:color w:val="0F4761" w:themeColor="accent1" w:themeShade="BF"/>
    </w:rPr>
  </w:style>
  <w:style w:type="character" w:styleId="Riferimentointenso">
    <w:name w:val="Intense Reference"/>
    <w:basedOn w:val="Carpredefinitoparagrafo"/>
    <w:uiPriority w:val="32"/>
    <w:qFormat/>
    <w:rsid w:val="006D6721"/>
    <w:rPr>
      <w:b/>
      <w:bCs/>
      <w:smallCaps/>
      <w:color w:val="0F4761" w:themeColor="accent1" w:themeShade="BF"/>
      <w:spacing w:val="5"/>
    </w:rPr>
  </w:style>
  <w:style w:type="paragraph" w:styleId="Pidipagina">
    <w:name w:val="footer"/>
    <w:basedOn w:val="Normale"/>
    <w:link w:val="PidipaginaCarattere"/>
    <w:uiPriority w:val="99"/>
    <w:unhideWhenUsed/>
    <w:rsid w:val="007E48B9"/>
    <w:pPr>
      <w:tabs>
        <w:tab w:val="center" w:pos="4819"/>
        <w:tab w:val="right" w:pos="9638"/>
      </w:tabs>
    </w:pPr>
  </w:style>
  <w:style w:type="character" w:customStyle="1" w:styleId="PidipaginaCarattere">
    <w:name w:val="Piè di pagina Carattere"/>
    <w:basedOn w:val="Carpredefinitoparagrafo"/>
    <w:link w:val="Pidipagina"/>
    <w:uiPriority w:val="99"/>
    <w:rsid w:val="007E48B9"/>
  </w:style>
  <w:style w:type="character" w:styleId="Numeropagina">
    <w:name w:val="page number"/>
    <w:basedOn w:val="Carpredefinitoparagrafo"/>
    <w:uiPriority w:val="99"/>
    <w:semiHidden/>
    <w:unhideWhenUsed/>
    <w:rsid w:val="007E48B9"/>
  </w:style>
  <w:style w:type="paragraph" w:styleId="Testonotaapidipagina">
    <w:name w:val="footnote text"/>
    <w:basedOn w:val="Normale"/>
    <w:link w:val="TestonotaapidipaginaCarattere"/>
    <w:uiPriority w:val="99"/>
    <w:semiHidden/>
    <w:unhideWhenUsed/>
    <w:rsid w:val="00714D91"/>
    <w:rPr>
      <w:sz w:val="20"/>
      <w:szCs w:val="20"/>
    </w:rPr>
  </w:style>
  <w:style w:type="character" w:customStyle="1" w:styleId="TestonotaapidipaginaCarattere">
    <w:name w:val="Testo nota a piè di pagina Carattere"/>
    <w:basedOn w:val="Carpredefinitoparagrafo"/>
    <w:link w:val="Testonotaapidipagina"/>
    <w:uiPriority w:val="99"/>
    <w:semiHidden/>
    <w:rsid w:val="00714D91"/>
    <w:rPr>
      <w:sz w:val="20"/>
      <w:szCs w:val="20"/>
    </w:rPr>
  </w:style>
  <w:style w:type="character" w:styleId="Rimandonotaapidipagina">
    <w:name w:val="footnote reference"/>
    <w:basedOn w:val="Carpredefinitoparagrafo"/>
    <w:uiPriority w:val="99"/>
    <w:semiHidden/>
    <w:unhideWhenUsed/>
    <w:rsid w:val="00714D9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0052809">
      <w:bodyDiv w:val="1"/>
      <w:marLeft w:val="0"/>
      <w:marRight w:val="0"/>
      <w:marTop w:val="0"/>
      <w:marBottom w:val="0"/>
      <w:divBdr>
        <w:top w:val="none" w:sz="0" w:space="0" w:color="auto"/>
        <w:left w:val="none" w:sz="0" w:space="0" w:color="auto"/>
        <w:bottom w:val="none" w:sz="0" w:space="0" w:color="auto"/>
        <w:right w:val="none" w:sz="0" w:space="0" w:color="auto"/>
      </w:divBdr>
    </w:div>
    <w:div w:id="455219018">
      <w:bodyDiv w:val="1"/>
      <w:marLeft w:val="0"/>
      <w:marRight w:val="0"/>
      <w:marTop w:val="0"/>
      <w:marBottom w:val="0"/>
      <w:divBdr>
        <w:top w:val="none" w:sz="0" w:space="0" w:color="auto"/>
        <w:left w:val="none" w:sz="0" w:space="0" w:color="auto"/>
        <w:bottom w:val="none" w:sz="0" w:space="0" w:color="auto"/>
        <w:right w:val="none" w:sz="0" w:space="0" w:color="auto"/>
      </w:divBdr>
    </w:div>
    <w:div w:id="553152358">
      <w:bodyDiv w:val="1"/>
      <w:marLeft w:val="0"/>
      <w:marRight w:val="0"/>
      <w:marTop w:val="0"/>
      <w:marBottom w:val="0"/>
      <w:divBdr>
        <w:top w:val="none" w:sz="0" w:space="0" w:color="auto"/>
        <w:left w:val="none" w:sz="0" w:space="0" w:color="auto"/>
        <w:bottom w:val="none" w:sz="0" w:space="0" w:color="auto"/>
        <w:right w:val="none" w:sz="0" w:space="0" w:color="auto"/>
      </w:divBdr>
      <w:divsChild>
        <w:div w:id="756950169">
          <w:marLeft w:val="0"/>
          <w:marRight w:val="0"/>
          <w:marTop w:val="0"/>
          <w:marBottom w:val="0"/>
          <w:divBdr>
            <w:top w:val="none" w:sz="0" w:space="0" w:color="auto"/>
            <w:left w:val="none" w:sz="0" w:space="0" w:color="auto"/>
            <w:bottom w:val="none" w:sz="0" w:space="0" w:color="auto"/>
            <w:right w:val="none" w:sz="0" w:space="0" w:color="auto"/>
          </w:divBdr>
          <w:divsChild>
            <w:div w:id="833842445">
              <w:marLeft w:val="0"/>
              <w:marRight w:val="0"/>
              <w:marTop w:val="0"/>
              <w:marBottom w:val="0"/>
              <w:divBdr>
                <w:top w:val="none" w:sz="0" w:space="0" w:color="auto"/>
                <w:left w:val="none" w:sz="0" w:space="0" w:color="auto"/>
                <w:bottom w:val="none" w:sz="0" w:space="0" w:color="auto"/>
                <w:right w:val="none" w:sz="0" w:space="0" w:color="auto"/>
              </w:divBdr>
              <w:divsChild>
                <w:div w:id="32159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020603">
      <w:bodyDiv w:val="1"/>
      <w:marLeft w:val="0"/>
      <w:marRight w:val="0"/>
      <w:marTop w:val="0"/>
      <w:marBottom w:val="0"/>
      <w:divBdr>
        <w:top w:val="none" w:sz="0" w:space="0" w:color="auto"/>
        <w:left w:val="none" w:sz="0" w:space="0" w:color="auto"/>
        <w:bottom w:val="none" w:sz="0" w:space="0" w:color="auto"/>
        <w:right w:val="none" w:sz="0" w:space="0" w:color="auto"/>
      </w:divBdr>
      <w:divsChild>
        <w:div w:id="1332294521">
          <w:marLeft w:val="0"/>
          <w:marRight w:val="0"/>
          <w:marTop w:val="0"/>
          <w:marBottom w:val="0"/>
          <w:divBdr>
            <w:top w:val="none" w:sz="0" w:space="0" w:color="auto"/>
            <w:left w:val="none" w:sz="0" w:space="0" w:color="auto"/>
            <w:bottom w:val="none" w:sz="0" w:space="0" w:color="auto"/>
            <w:right w:val="none" w:sz="0" w:space="0" w:color="auto"/>
          </w:divBdr>
          <w:divsChild>
            <w:div w:id="2108621442">
              <w:marLeft w:val="0"/>
              <w:marRight w:val="0"/>
              <w:marTop w:val="0"/>
              <w:marBottom w:val="0"/>
              <w:divBdr>
                <w:top w:val="none" w:sz="0" w:space="0" w:color="auto"/>
                <w:left w:val="none" w:sz="0" w:space="0" w:color="auto"/>
                <w:bottom w:val="none" w:sz="0" w:space="0" w:color="auto"/>
                <w:right w:val="none" w:sz="0" w:space="0" w:color="auto"/>
              </w:divBdr>
              <w:divsChild>
                <w:div w:id="191635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094624">
      <w:bodyDiv w:val="1"/>
      <w:marLeft w:val="0"/>
      <w:marRight w:val="0"/>
      <w:marTop w:val="0"/>
      <w:marBottom w:val="0"/>
      <w:divBdr>
        <w:top w:val="none" w:sz="0" w:space="0" w:color="auto"/>
        <w:left w:val="none" w:sz="0" w:space="0" w:color="auto"/>
        <w:bottom w:val="none" w:sz="0" w:space="0" w:color="auto"/>
        <w:right w:val="none" w:sz="0" w:space="0" w:color="auto"/>
      </w:divBdr>
      <w:divsChild>
        <w:div w:id="1923098164">
          <w:marLeft w:val="0"/>
          <w:marRight w:val="0"/>
          <w:marTop w:val="0"/>
          <w:marBottom w:val="0"/>
          <w:divBdr>
            <w:top w:val="none" w:sz="0" w:space="0" w:color="auto"/>
            <w:left w:val="none" w:sz="0" w:space="0" w:color="auto"/>
            <w:bottom w:val="none" w:sz="0" w:space="0" w:color="auto"/>
            <w:right w:val="none" w:sz="0" w:space="0" w:color="auto"/>
          </w:divBdr>
          <w:divsChild>
            <w:div w:id="1344823015">
              <w:marLeft w:val="0"/>
              <w:marRight w:val="0"/>
              <w:marTop w:val="0"/>
              <w:marBottom w:val="0"/>
              <w:divBdr>
                <w:top w:val="none" w:sz="0" w:space="0" w:color="auto"/>
                <w:left w:val="none" w:sz="0" w:space="0" w:color="auto"/>
                <w:bottom w:val="none" w:sz="0" w:space="0" w:color="auto"/>
                <w:right w:val="none" w:sz="0" w:space="0" w:color="auto"/>
              </w:divBdr>
              <w:divsChild>
                <w:div w:id="34367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358619">
      <w:bodyDiv w:val="1"/>
      <w:marLeft w:val="0"/>
      <w:marRight w:val="0"/>
      <w:marTop w:val="0"/>
      <w:marBottom w:val="0"/>
      <w:divBdr>
        <w:top w:val="none" w:sz="0" w:space="0" w:color="auto"/>
        <w:left w:val="none" w:sz="0" w:space="0" w:color="auto"/>
        <w:bottom w:val="none" w:sz="0" w:space="0" w:color="auto"/>
        <w:right w:val="none" w:sz="0" w:space="0" w:color="auto"/>
      </w:divBdr>
      <w:divsChild>
        <w:div w:id="779833921">
          <w:marLeft w:val="0"/>
          <w:marRight w:val="0"/>
          <w:marTop w:val="0"/>
          <w:marBottom w:val="0"/>
          <w:divBdr>
            <w:top w:val="none" w:sz="0" w:space="0" w:color="auto"/>
            <w:left w:val="none" w:sz="0" w:space="0" w:color="auto"/>
            <w:bottom w:val="none" w:sz="0" w:space="0" w:color="auto"/>
            <w:right w:val="none" w:sz="0" w:space="0" w:color="auto"/>
          </w:divBdr>
          <w:divsChild>
            <w:div w:id="270014547">
              <w:marLeft w:val="0"/>
              <w:marRight w:val="0"/>
              <w:marTop w:val="0"/>
              <w:marBottom w:val="0"/>
              <w:divBdr>
                <w:top w:val="none" w:sz="0" w:space="0" w:color="auto"/>
                <w:left w:val="none" w:sz="0" w:space="0" w:color="auto"/>
                <w:bottom w:val="none" w:sz="0" w:space="0" w:color="auto"/>
                <w:right w:val="none" w:sz="0" w:space="0" w:color="auto"/>
              </w:divBdr>
              <w:divsChild>
                <w:div w:id="74784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867016">
      <w:bodyDiv w:val="1"/>
      <w:marLeft w:val="0"/>
      <w:marRight w:val="0"/>
      <w:marTop w:val="0"/>
      <w:marBottom w:val="0"/>
      <w:divBdr>
        <w:top w:val="none" w:sz="0" w:space="0" w:color="auto"/>
        <w:left w:val="none" w:sz="0" w:space="0" w:color="auto"/>
        <w:bottom w:val="none" w:sz="0" w:space="0" w:color="auto"/>
        <w:right w:val="none" w:sz="0" w:space="0" w:color="auto"/>
      </w:divBdr>
      <w:divsChild>
        <w:div w:id="2049798460">
          <w:marLeft w:val="0"/>
          <w:marRight w:val="0"/>
          <w:marTop w:val="0"/>
          <w:marBottom w:val="0"/>
          <w:divBdr>
            <w:top w:val="none" w:sz="0" w:space="0" w:color="auto"/>
            <w:left w:val="none" w:sz="0" w:space="0" w:color="auto"/>
            <w:bottom w:val="none" w:sz="0" w:space="0" w:color="auto"/>
            <w:right w:val="none" w:sz="0" w:space="0" w:color="auto"/>
          </w:divBdr>
          <w:divsChild>
            <w:div w:id="348147884">
              <w:marLeft w:val="0"/>
              <w:marRight w:val="0"/>
              <w:marTop w:val="0"/>
              <w:marBottom w:val="0"/>
              <w:divBdr>
                <w:top w:val="none" w:sz="0" w:space="0" w:color="auto"/>
                <w:left w:val="none" w:sz="0" w:space="0" w:color="auto"/>
                <w:bottom w:val="none" w:sz="0" w:space="0" w:color="auto"/>
                <w:right w:val="none" w:sz="0" w:space="0" w:color="auto"/>
              </w:divBdr>
              <w:divsChild>
                <w:div w:id="85480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704824">
      <w:bodyDiv w:val="1"/>
      <w:marLeft w:val="0"/>
      <w:marRight w:val="0"/>
      <w:marTop w:val="0"/>
      <w:marBottom w:val="0"/>
      <w:divBdr>
        <w:top w:val="none" w:sz="0" w:space="0" w:color="auto"/>
        <w:left w:val="none" w:sz="0" w:space="0" w:color="auto"/>
        <w:bottom w:val="none" w:sz="0" w:space="0" w:color="auto"/>
        <w:right w:val="none" w:sz="0" w:space="0" w:color="auto"/>
      </w:divBdr>
    </w:div>
    <w:div w:id="1213495422">
      <w:bodyDiv w:val="1"/>
      <w:marLeft w:val="0"/>
      <w:marRight w:val="0"/>
      <w:marTop w:val="0"/>
      <w:marBottom w:val="0"/>
      <w:divBdr>
        <w:top w:val="none" w:sz="0" w:space="0" w:color="auto"/>
        <w:left w:val="none" w:sz="0" w:space="0" w:color="auto"/>
        <w:bottom w:val="none" w:sz="0" w:space="0" w:color="auto"/>
        <w:right w:val="none" w:sz="0" w:space="0" w:color="auto"/>
      </w:divBdr>
      <w:divsChild>
        <w:div w:id="1356035662">
          <w:marLeft w:val="0"/>
          <w:marRight w:val="0"/>
          <w:marTop w:val="0"/>
          <w:marBottom w:val="0"/>
          <w:divBdr>
            <w:top w:val="none" w:sz="0" w:space="0" w:color="auto"/>
            <w:left w:val="none" w:sz="0" w:space="0" w:color="auto"/>
            <w:bottom w:val="none" w:sz="0" w:space="0" w:color="auto"/>
            <w:right w:val="none" w:sz="0" w:space="0" w:color="auto"/>
          </w:divBdr>
          <w:divsChild>
            <w:div w:id="2132438736">
              <w:marLeft w:val="0"/>
              <w:marRight w:val="0"/>
              <w:marTop w:val="0"/>
              <w:marBottom w:val="0"/>
              <w:divBdr>
                <w:top w:val="none" w:sz="0" w:space="0" w:color="auto"/>
                <w:left w:val="none" w:sz="0" w:space="0" w:color="auto"/>
                <w:bottom w:val="none" w:sz="0" w:space="0" w:color="auto"/>
                <w:right w:val="none" w:sz="0" w:space="0" w:color="auto"/>
              </w:divBdr>
              <w:divsChild>
                <w:div w:id="43969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309903">
      <w:bodyDiv w:val="1"/>
      <w:marLeft w:val="0"/>
      <w:marRight w:val="0"/>
      <w:marTop w:val="0"/>
      <w:marBottom w:val="0"/>
      <w:divBdr>
        <w:top w:val="none" w:sz="0" w:space="0" w:color="auto"/>
        <w:left w:val="none" w:sz="0" w:space="0" w:color="auto"/>
        <w:bottom w:val="none" w:sz="0" w:space="0" w:color="auto"/>
        <w:right w:val="none" w:sz="0" w:space="0" w:color="auto"/>
      </w:divBdr>
      <w:divsChild>
        <w:div w:id="1734159682">
          <w:marLeft w:val="0"/>
          <w:marRight w:val="0"/>
          <w:marTop w:val="0"/>
          <w:marBottom w:val="0"/>
          <w:divBdr>
            <w:top w:val="none" w:sz="0" w:space="0" w:color="auto"/>
            <w:left w:val="none" w:sz="0" w:space="0" w:color="auto"/>
            <w:bottom w:val="none" w:sz="0" w:space="0" w:color="auto"/>
            <w:right w:val="none" w:sz="0" w:space="0" w:color="auto"/>
          </w:divBdr>
          <w:divsChild>
            <w:div w:id="226846053">
              <w:marLeft w:val="0"/>
              <w:marRight w:val="0"/>
              <w:marTop w:val="0"/>
              <w:marBottom w:val="0"/>
              <w:divBdr>
                <w:top w:val="none" w:sz="0" w:space="0" w:color="auto"/>
                <w:left w:val="none" w:sz="0" w:space="0" w:color="auto"/>
                <w:bottom w:val="none" w:sz="0" w:space="0" w:color="auto"/>
                <w:right w:val="none" w:sz="0" w:space="0" w:color="auto"/>
              </w:divBdr>
              <w:divsChild>
                <w:div w:id="168035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983775">
      <w:bodyDiv w:val="1"/>
      <w:marLeft w:val="0"/>
      <w:marRight w:val="0"/>
      <w:marTop w:val="0"/>
      <w:marBottom w:val="0"/>
      <w:divBdr>
        <w:top w:val="none" w:sz="0" w:space="0" w:color="auto"/>
        <w:left w:val="none" w:sz="0" w:space="0" w:color="auto"/>
        <w:bottom w:val="none" w:sz="0" w:space="0" w:color="auto"/>
        <w:right w:val="none" w:sz="0" w:space="0" w:color="auto"/>
      </w:divBdr>
    </w:div>
    <w:div w:id="1443067762">
      <w:bodyDiv w:val="1"/>
      <w:marLeft w:val="0"/>
      <w:marRight w:val="0"/>
      <w:marTop w:val="0"/>
      <w:marBottom w:val="0"/>
      <w:divBdr>
        <w:top w:val="none" w:sz="0" w:space="0" w:color="auto"/>
        <w:left w:val="none" w:sz="0" w:space="0" w:color="auto"/>
        <w:bottom w:val="none" w:sz="0" w:space="0" w:color="auto"/>
        <w:right w:val="none" w:sz="0" w:space="0" w:color="auto"/>
      </w:divBdr>
      <w:divsChild>
        <w:div w:id="1598634554">
          <w:marLeft w:val="0"/>
          <w:marRight w:val="0"/>
          <w:marTop w:val="0"/>
          <w:marBottom w:val="0"/>
          <w:divBdr>
            <w:top w:val="none" w:sz="0" w:space="0" w:color="auto"/>
            <w:left w:val="none" w:sz="0" w:space="0" w:color="auto"/>
            <w:bottom w:val="none" w:sz="0" w:space="0" w:color="auto"/>
            <w:right w:val="none" w:sz="0" w:space="0" w:color="auto"/>
          </w:divBdr>
          <w:divsChild>
            <w:div w:id="1248265349">
              <w:marLeft w:val="0"/>
              <w:marRight w:val="0"/>
              <w:marTop w:val="0"/>
              <w:marBottom w:val="0"/>
              <w:divBdr>
                <w:top w:val="none" w:sz="0" w:space="0" w:color="auto"/>
                <w:left w:val="none" w:sz="0" w:space="0" w:color="auto"/>
                <w:bottom w:val="none" w:sz="0" w:space="0" w:color="auto"/>
                <w:right w:val="none" w:sz="0" w:space="0" w:color="auto"/>
              </w:divBdr>
              <w:divsChild>
                <w:div w:id="146152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178884">
      <w:bodyDiv w:val="1"/>
      <w:marLeft w:val="0"/>
      <w:marRight w:val="0"/>
      <w:marTop w:val="0"/>
      <w:marBottom w:val="0"/>
      <w:divBdr>
        <w:top w:val="none" w:sz="0" w:space="0" w:color="auto"/>
        <w:left w:val="none" w:sz="0" w:space="0" w:color="auto"/>
        <w:bottom w:val="none" w:sz="0" w:space="0" w:color="auto"/>
        <w:right w:val="none" w:sz="0" w:space="0" w:color="auto"/>
      </w:divBdr>
      <w:divsChild>
        <w:div w:id="2118788301">
          <w:marLeft w:val="0"/>
          <w:marRight w:val="0"/>
          <w:marTop w:val="0"/>
          <w:marBottom w:val="0"/>
          <w:divBdr>
            <w:top w:val="none" w:sz="0" w:space="0" w:color="auto"/>
            <w:left w:val="none" w:sz="0" w:space="0" w:color="auto"/>
            <w:bottom w:val="none" w:sz="0" w:space="0" w:color="auto"/>
            <w:right w:val="none" w:sz="0" w:space="0" w:color="auto"/>
          </w:divBdr>
          <w:divsChild>
            <w:div w:id="483283180">
              <w:marLeft w:val="0"/>
              <w:marRight w:val="0"/>
              <w:marTop w:val="0"/>
              <w:marBottom w:val="0"/>
              <w:divBdr>
                <w:top w:val="none" w:sz="0" w:space="0" w:color="auto"/>
                <w:left w:val="none" w:sz="0" w:space="0" w:color="auto"/>
                <w:bottom w:val="none" w:sz="0" w:space="0" w:color="auto"/>
                <w:right w:val="none" w:sz="0" w:space="0" w:color="auto"/>
              </w:divBdr>
              <w:divsChild>
                <w:div w:id="137785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929117">
      <w:bodyDiv w:val="1"/>
      <w:marLeft w:val="0"/>
      <w:marRight w:val="0"/>
      <w:marTop w:val="0"/>
      <w:marBottom w:val="0"/>
      <w:divBdr>
        <w:top w:val="none" w:sz="0" w:space="0" w:color="auto"/>
        <w:left w:val="none" w:sz="0" w:space="0" w:color="auto"/>
        <w:bottom w:val="none" w:sz="0" w:space="0" w:color="auto"/>
        <w:right w:val="none" w:sz="0" w:space="0" w:color="auto"/>
      </w:divBdr>
      <w:divsChild>
        <w:div w:id="1768651828">
          <w:marLeft w:val="0"/>
          <w:marRight w:val="0"/>
          <w:marTop w:val="0"/>
          <w:marBottom w:val="0"/>
          <w:divBdr>
            <w:top w:val="none" w:sz="0" w:space="0" w:color="auto"/>
            <w:left w:val="none" w:sz="0" w:space="0" w:color="auto"/>
            <w:bottom w:val="none" w:sz="0" w:space="0" w:color="auto"/>
            <w:right w:val="none" w:sz="0" w:space="0" w:color="auto"/>
          </w:divBdr>
          <w:divsChild>
            <w:div w:id="2005430746">
              <w:marLeft w:val="0"/>
              <w:marRight w:val="0"/>
              <w:marTop w:val="0"/>
              <w:marBottom w:val="0"/>
              <w:divBdr>
                <w:top w:val="none" w:sz="0" w:space="0" w:color="auto"/>
                <w:left w:val="none" w:sz="0" w:space="0" w:color="auto"/>
                <w:bottom w:val="none" w:sz="0" w:space="0" w:color="auto"/>
                <w:right w:val="none" w:sz="0" w:space="0" w:color="auto"/>
              </w:divBdr>
              <w:divsChild>
                <w:div w:id="185915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578544">
      <w:bodyDiv w:val="1"/>
      <w:marLeft w:val="0"/>
      <w:marRight w:val="0"/>
      <w:marTop w:val="0"/>
      <w:marBottom w:val="0"/>
      <w:divBdr>
        <w:top w:val="none" w:sz="0" w:space="0" w:color="auto"/>
        <w:left w:val="none" w:sz="0" w:space="0" w:color="auto"/>
        <w:bottom w:val="none" w:sz="0" w:space="0" w:color="auto"/>
        <w:right w:val="none" w:sz="0" w:space="0" w:color="auto"/>
      </w:divBdr>
      <w:divsChild>
        <w:div w:id="1784109906">
          <w:marLeft w:val="0"/>
          <w:marRight w:val="0"/>
          <w:marTop w:val="0"/>
          <w:marBottom w:val="0"/>
          <w:divBdr>
            <w:top w:val="none" w:sz="0" w:space="0" w:color="auto"/>
            <w:left w:val="none" w:sz="0" w:space="0" w:color="auto"/>
            <w:bottom w:val="none" w:sz="0" w:space="0" w:color="auto"/>
            <w:right w:val="none" w:sz="0" w:space="0" w:color="auto"/>
          </w:divBdr>
          <w:divsChild>
            <w:div w:id="1384864674">
              <w:marLeft w:val="0"/>
              <w:marRight w:val="0"/>
              <w:marTop w:val="0"/>
              <w:marBottom w:val="0"/>
              <w:divBdr>
                <w:top w:val="none" w:sz="0" w:space="0" w:color="auto"/>
                <w:left w:val="none" w:sz="0" w:space="0" w:color="auto"/>
                <w:bottom w:val="none" w:sz="0" w:space="0" w:color="auto"/>
                <w:right w:val="none" w:sz="0" w:space="0" w:color="auto"/>
              </w:divBdr>
              <w:divsChild>
                <w:div w:id="158433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158840">
      <w:bodyDiv w:val="1"/>
      <w:marLeft w:val="0"/>
      <w:marRight w:val="0"/>
      <w:marTop w:val="0"/>
      <w:marBottom w:val="0"/>
      <w:divBdr>
        <w:top w:val="none" w:sz="0" w:space="0" w:color="auto"/>
        <w:left w:val="none" w:sz="0" w:space="0" w:color="auto"/>
        <w:bottom w:val="none" w:sz="0" w:space="0" w:color="auto"/>
        <w:right w:val="none" w:sz="0" w:space="0" w:color="auto"/>
      </w:divBdr>
      <w:divsChild>
        <w:div w:id="391544601">
          <w:marLeft w:val="0"/>
          <w:marRight w:val="0"/>
          <w:marTop w:val="0"/>
          <w:marBottom w:val="0"/>
          <w:divBdr>
            <w:top w:val="none" w:sz="0" w:space="0" w:color="auto"/>
            <w:left w:val="none" w:sz="0" w:space="0" w:color="auto"/>
            <w:bottom w:val="none" w:sz="0" w:space="0" w:color="auto"/>
            <w:right w:val="none" w:sz="0" w:space="0" w:color="auto"/>
          </w:divBdr>
          <w:divsChild>
            <w:div w:id="918560484">
              <w:marLeft w:val="0"/>
              <w:marRight w:val="0"/>
              <w:marTop w:val="0"/>
              <w:marBottom w:val="0"/>
              <w:divBdr>
                <w:top w:val="none" w:sz="0" w:space="0" w:color="auto"/>
                <w:left w:val="none" w:sz="0" w:space="0" w:color="auto"/>
                <w:bottom w:val="none" w:sz="0" w:space="0" w:color="auto"/>
                <w:right w:val="none" w:sz="0" w:space="0" w:color="auto"/>
              </w:divBdr>
              <w:divsChild>
                <w:div w:id="156181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5C57FD-A6D4-F046-8F43-74A2D8EA2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391</TotalTime>
  <Pages>1</Pages>
  <Words>2657</Words>
  <Characters>15149</Characters>
  <Application>Microsoft Office Word</Application>
  <DocSecurity>0</DocSecurity>
  <Lines>126</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Ruotolo</dc:creator>
  <cp:keywords/>
  <dc:description/>
  <cp:lastModifiedBy>Marco Ruotolo</cp:lastModifiedBy>
  <cp:revision>33</cp:revision>
  <cp:lastPrinted>2024-11-04T16:58:00Z</cp:lastPrinted>
  <dcterms:created xsi:type="dcterms:W3CDTF">2024-11-01T09:12:00Z</dcterms:created>
  <dcterms:modified xsi:type="dcterms:W3CDTF">2024-11-04T17:25:00Z</dcterms:modified>
</cp:coreProperties>
</file>