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4814"/>
        <w:gridCol w:w="4814"/>
      </w:tblGrid>
      <w:tr w:rsidR="005E6FBB" w:rsidRPr="001768B2" w14:paraId="2BB90736" w14:textId="77777777" w:rsidTr="005E6FBB">
        <w:tc>
          <w:tcPr>
            <w:tcW w:w="4814" w:type="dxa"/>
          </w:tcPr>
          <w:p w14:paraId="2A0FBDFD" w14:textId="0DFF173E" w:rsidR="005E6FBB" w:rsidRPr="001768B2" w:rsidRDefault="00F4557D" w:rsidP="00DA5276">
            <w:pPr>
              <w:jc w:val="center"/>
              <w:rPr>
                <w:rFonts w:ascii="Arial" w:hAnsi="Arial" w:cs="Arial"/>
                <w:sz w:val="26"/>
                <w:szCs w:val="26"/>
              </w:rPr>
            </w:pPr>
            <w:r>
              <w:rPr>
                <w:rFonts w:ascii="Arial" w:hAnsi="Arial" w:cs="Arial"/>
                <w:sz w:val="26"/>
                <w:szCs w:val="26"/>
              </w:rPr>
              <w:t>Macro questione</w:t>
            </w:r>
          </w:p>
        </w:tc>
        <w:tc>
          <w:tcPr>
            <w:tcW w:w="4814" w:type="dxa"/>
          </w:tcPr>
          <w:p w14:paraId="38F86149" w14:textId="367FE9E9" w:rsidR="005E6FBB" w:rsidRPr="001768B2" w:rsidRDefault="00F4557D" w:rsidP="00DA5276">
            <w:pPr>
              <w:jc w:val="center"/>
              <w:rPr>
                <w:rFonts w:ascii="Arial" w:hAnsi="Arial" w:cs="Arial"/>
                <w:sz w:val="26"/>
                <w:szCs w:val="26"/>
              </w:rPr>
            </w:pPr>
            <w:r>
              <w:rPr>
                <w:rFonts w:ascii="Arial" w:hAnsi="Arial" w:cs="Arial"/>
                <w:sz w:val="26"/>
                <w:szCs w:val="26"/>
              </w:rPr>
              <w:t>Macro soluzione</w:t>
            </w:r>
          </w:p>
        </w:tc>
      </w:tr>
      <w:tr w:rsidR="005E6FBB" w:rsidRPr="001768B2" w14:paraId="63E7896B" w14:textId="77777777" w:rsidTr="005E6FBB">
        <w:tc>
          <w:tcPr>
            <w:tcW w:w="4814" w:type="dxa"/>
          </w:tcPr>
          <w:p w14:paraId="291813B2" w14:textId="0D282AC3" w:rsidR="005E6FBB" w:rsidRDefault="00E705BF" w:rsidP="001768B2">
            <w:pPr>
              <w:jc w:val="both"/>
              <w:rPr>
                <w:rFonts w:ascii="Arial" w:hAnsi="Arial" w:cs="Arial"/>
                <w:sz w:val="26"/>
                <w:szCs w:val="26"/>
              </w:rPr>
            </w:pPr>
            <w:r>
              <w:rPr>
                <w:rFonts w:ascii="Arial" w:hAnsi="Arial" w:cs="Arial"/>
                <w:sz w:val="26"/>
                <w:szCs w:val="26"/>
              </w:rPr>
              <w:t xml:space="preserve"> Dalla esperienza di membro del</w:t>
            </w:r>
            <w:r w:rsidR="00E116FC">
              <w:rPr>
                <w:rFonts w:ascii="Arial" w:hAnsi="Arial" w:cs="Arial"/>
                <w:sz w:val="26"/>
                <w:szCs w:val="26"/>
              </w:rPr>
              <w:t>lo scorso</w:t>
            </w:r>
            <w:r>
              <w:rPr>
                <w:rFonts w:ascii="Arial" w:hAnsi="Arial" w:cs="Arial"/>
                <w:sz w:val="26"/>
                <w:szCs w:val="26"/>
              </w:rPr>
              <w:t xml:space="preserve"> consiglio di presidenza </w:t>
            </w:r>
            <w:r w:rsidR="00E116FC">
              <w:rPr>
                <w:rFonts w:ascii="Arial" w:hAnsi="Arial" w:cs="Arial"/>
                <w:sz w:val="26"/>
                <w:szCs w:val="26"/>
              </w:rPr>
              <w:t>(</w:t>
            </w:r>
            <w:r>
              <w:rPr>
                <w:rFonts w:ascii="Arial" w:hAnsi="Arial" w:cs="Arial"/>
                <w:sz w:val="26"/>
                <w:szCs w:val="26"/>
              </w:rPr>
              <w:t>pu</w:t>
            </w:r>
            <w:r w:rsidR="00E116FC">
              <w:rPr>
                <w:rFonts w:ascii="Arial" w:hAnsi="Arial" w:cs="Arial"/>
                <w:sz w:val="26"/>
                <w:szCs w:val="26"/>
              </w:rPr>
              <w:t>r avendo lavorato</w:t>
            </w:r>
            <w:r>
              <w:rPr>
                <w:rFonts w:ascii="Arial" w:hAnsi="Arial" w:cs="Arial"/>
                <w:sz w:val="26"/>
                <w:szCs w:val="26"/>
              </w:rPr>
              <w:t xml:space="preserve"> in particolare alla formazione con istituzione della scuola</w:t>
            </w:r>
            <w:r w:rsidR="00F4557D">
              <w:rPr>
                <w:rFonts w:ascii="Arial" w:hAnsi="Arial" w:cs="Arial"/>
                <w:sz w:val="26"/>
                <w:szCs w:val="26"/>
              </w:rPr>
              <w:t xml:space="preserve"> -</w:t>
            </w:r>
            <w:r>
              <w:rPr>
                <w:rFonts w:ascii="Arial" w:hAnsi="Arial" w:cs="Arial"/>
                <w:sz w:val="26"/>
                <w:szCs w:val="26"/>
              </w:rPr>
              <w:t xml:space="preserve"> e unico caso</w:t>
            </w:r>
            <w:r w:rsidR="00F4557D">
              <w:rPr>
                <w:rFonts w:ascii="Arial" w:hAnsi="Arial" w:cs="Arial"/>
                <w:sz w:val="26"/>
                <w:szCs w:val="26"/>
              </w:rPr>
              <w:t xml:space="preserve"> per una magistratura -</w:t>
            </w:r>
            <w:r w:rsidR="00E116FC">
              <w:rPr>
                <w:rFonts w:ascii="Arial" w:hAnsi="Arial" w:cs="Arial"/>
                <w:sz w:val="26"/>
                <w:szCs w:val="26"/>
              </w:rPr>
              <w:t xml:space="preserve"> con l’</w:t>
            </w:r>
            <w:r>
              <w:rPr>
                <w:rFonts w:ascii="Arial" w:hAnsi="Arial" w:cs="Arial"/>
                <w:sz w:val="26"/>
                <w:szCs w:val="26"/>
              </w:rPr>
              <w:t>approdo della Rivista istituzionale in c.d. fascia A</w:t>
            </w:r>
            <w:r w:rsidR="00E116FC">
              <w:rPr>
                <w:rFonts w:ascii="Arial" w:hAnsi="Arial" w:cs="Arial"/>
                <w:sz w:val="26"/>
                <w:szCs w:val="26"/>
              </w:rPr>
              <w:t>)</w:t>
            </w:r>
            <w:r>
              <w:rPr>
                <w:rFonts w:ascii="Arial" w:hAnsi="Arial" w:cs="Arial"/>
                <w:sz w:val="26"/>
                <w:szCs w:val="26"/>
              </w:rPr>
              <w:t xml:space="preserve">, ho osservato e accertato che la Corte non è in grado di auto-riformarsi, che considerati i problemi </w:t>
            </w:r>
            <w:r w:rsidR="00F4557D">
              <w:rPr>
                <w:rFonts w:ascii="Arial" w:hAnsi="Arial" w:cs="Arial"/>
                <w:sz w:val="26"/>
                <w:szCs w:val="26"/>
              </w:rPr>
              <w:t xml:space="preserve">sul tavolo </w:t>
            </w:r>
            <w:r>
              <w:rPr>
                <w:rFonts w:ascii="Arial" w:hAnsi="Arial" w:cs="Arial"/>
                <w:sz w:val="26"/>
                <w:szCs w:val="26"/>
              </w:rPr>
              <w:t>sarebbe</w:t>
            </w:r>
            <w:r w:rsidR="00F4557D">
              <w:rPr>
                <w:rFonts w:ascii="Arial" w:hAnsi="Arial" w:cs="Arial"/>
                <w:sz w:val="26"/>
                <w:szCs w:val="26"/>
              </w:rPr>
              <w:t xml:space="preserve"> stata</w:t>
            </w:r>
            <w:r>
              <w:rPr>
                <w:rFonts w:ascii="Arial" w:hAnsi="Arial" w:cs="Arial"/>
                <w:sz w:val="26"/>
                <w:szCs w:val="26"/>
              </w:rPr>
              <w:t xml:space="preserve"> la via maestra.</w:t>
            </w:r>
          </w:p>
          <w:p w14:paraId="09936A7A" w14:textId="6852A90F" w:rsidR="006A0B96" w:rsidRDefault="006A0B96" w:rsidP="006A0B96">
            <w:pPr>
              <w:shd w:val="clear" w:color="auto" w:fill="FFFFFF"/>
              <w:jc w:val="both"/>
              <w:rPr>
                <w:rFonts w:ascii="Arial" w:hAnsi="Arial" w:cs="Arial"/>
                <w:color w:val="000000"/>
                <w:sz w:val="26"/>
                <w:szCs w:val="26"/>
              </w:rPr>
            </w:pPr>
            <w:r>
              <w:rPr>
                <w:rFonts w:ascii="Arial" w:hAnsi="Arial" w:cs="Arial"/>
                <w:color w:val="000000"/>
                <w:sz w:val="26"/>
                <w:szCs w:val="26"/>
              </w:rPr>
              <w:t>D</w:t>
            </w:r>
            <w:r w:rsidRPr="001768B2">
              <w:rPr>
                <w:rFonts w:ascii="Arial" w:hAnsi="Arial" w:cs="Arial"/>
                <w:color w:val="000000"/>
                <w:sz w:val="26"/>
                <w:szCs w:val="26"/>
              </w:rPr>
              <w:t>al 1862 al 1934</w:t>
            </w:r>
            <w:r w:rsidR="00F4557D">
              <w:rPr>
                <w:rFonts w:ascii="Arial" w:hAnsi="Arial" w:cs="Arial"/>
                <w:color w:val="000000"/>
                <w:sz w:val="26"/>
                <w:szCs w:val="26"/>
              </w:rPr>
              <w:t xml:space="preserve"> la Corte ha svolto</w:t>
            </w:r>
            <w:r w:rsidRPr="001768B2">
              <w:rPr>
                <w:rFonts w:ascii="Arial" w:hAnsi="Arial" w:cs="Arial"/>
                <w:color w:val="000000"/>
                <w:sz w:val="26"/>
                <w:szCs w:val="26"/>
              </w:rPr>
              <w:t xml:space="preserve"> solo funzioni di controllo/referenti, dal 1934 al 1991/1994</w:t>
            </w:r>
            <w:r w:rsidR="00ED1849">
              <w:rPr>
                <w:rFonts w:ascii="Arial" w:hAnsi="Arial" w:cs="Arial"/>
                <w:color w:val="000000"/>
                <w:sz w:val="26"/>
                <w:szCs w:val="26"/>
              </w:rPr>
              <w:t xml:space="preserve"> ha avuto</w:t>
            </w:r>
            <w:r w:rsidRPr="001768B2">
              <w:rPr>
                <w:rFonts w:ascii="Arial" w:hAnsi="Arial" w:cs="Arial"/>
                <w:color w:val="000000"/>
                <w:sz w:val="26"/>
                <w:szCs w:val="26"/>
              </w:rPr>
              <w:t xml:space="preserve"> giurisdizione nazionale accentrata, dal 1994 in poi giurisdizione regionale.</w:t>
            </w:r>
          </w:p>
          <w:p w14:paraId="73E813EE" w14:textId="2FDB5458" w:rsidR="00E116FC" w:rsidRDefault="00E116FC" w:rsidP="006A0B96">
            <w:pPr>
              <w:shd w:val="clear" w:color="auto" w:fill="FFFFFF"/>
              <w:jc w:val="both"/>
              <w:rPr>
                <w:rFonts w:ascii="Arial" w:hAnsi="Arial" w:cs="Arial"/>
                <w:color w:val="000000" w:themeColor="text1"/>
                <w:sz w:val="26"/>
                <w:szCs w:val="26"/>
              </w:rPr>
            </w:pPr>
            <w:r>
              <w:rPr>
                <w:rFonts w:ascii="Arial" w:hAnsi="Arial" w:cs="Arial"/>
                <w:color w:val="000000" w:themeColor="text1"/>
                <w:sz w:val="26"/>
                <w:szCs w:val="26"/>
              </w:rPr>
              <w:t xml:space="preserve">Si </w:t>
            </w:r>
            <w:r w:rsidR="00386B1A">
              <w:rPr>
                <w:rFonts w:ascii="Arial" w:hAnsi="Arial" w:cs="Arial"/>
                <w:color w:val="000000" w:themeColor="text1"/>
                <w:sz w:val="26"/>
                <w:szCs w:val="26"/>
              </w:rPr>
              <w:t xml:space="preserve">è avuto modo di </w:t>
            </w:r>
            <w:r>
              <w:rPr>
                <w:rFonts w:ascii="Arial" w:hAnsi="Arial" w:cs="Arial"/>
                <w:color w:val="000000" w:themeColor="text1"/>
                <w:sz w:val="26"/>
                <w:szCs w:val="26"/>
              </w:rPr>
              <w:t>osserva</w:t>
            </w:r>
            <w:r w:rsidR="00386B1A">
              <w:rPr>
                <w:rFonts w:ascii="Arial" w:hAnsi="Arial" w:cs="Arial"/>
                <w:color w:val="000000" w:themeColor="text1"/>
                <w:sz w:val="26"/>
                <w:szCs w:val="26"/>
              </w:rPr>
              <w:t>re</w:t>
            </w:r>
            <w:r>
              <w:rPr>
                <w:rFonts w:ascii="Arial" w:hAnsi="Arial" w:cs="Arial"/>
                <w:color w:val="000000" w:themeColor="text1"/>
                <w:sz w:val="26"/>
                <w:szCs w:val="26"/>
              </w:rPr>
              <w:t xml:space="preserve"> un rilevante scollamento</w:t>
            </w:r>
            <w:r w:rsidR="00ED1849">
              <w:rPr>
                <w:rFonts w:ascii="Arial" w:hAnsi="Arial" w:cs="Arial"/>
                <w:color w:val="000000" w:themeColor="text1"/>
                <w:sz w:val="26"/>
                <w:szCs w:val="26"/>
              </w:rPr>
              <w:t xml:space="preserve"> tra le funzioni</w:t>
            </w:r>
            <w:r>
              <w:rPr>
                <w:rFonts w:ascii="Arial" w:hAnsi="Arial" w:cs="Arial"/>
                <w:color w:val="000000" w:themeColor="text1"/>
                <w:sz w:val="26"/>
                <w:szCs w:val="26"/>
              </w:rPr>
              <w:t xml:space="preserve">, talora addirittura un </w:t>
            </w:r>
            <w:r w:rsidR="00ED1849">
              <w:rPr>
                <w:rFonts w:ascii="Arial" w:hAnsi="Arial" w:cs="Arial"/>
                <w:color w:val="000000" w:themeColor="text1"/>
                <w:sz w:val="26"/>
                <w:szCs w:val="26"/>
              </w:rPr>
              <w:t>“</w:t>
            </w:r>
            <w:r>
              <w:rPr>
                <w:rFonts w:ascii="Arial" w:hAnsi="Arial" w:cs="Arial"/>
                <w:color w:val="000000" w:themeColor="text1"/>
                <w:sz w:val="26"/>
                <w:szCs w:val="26"/>
              </w:rPr>
              <w:t>integralismo</w:t>
            </w:r>
            <w:r w:rsidR="00ED1849">
              <w:rPr>
                <w:rFonts w:ascii="Arial" w:hAnsi="Arial" w:cs="Arial"/>
                <w:color w:val="000000" w:themeColor="text1"/>
                <w:sz w:val="26"/>
                <w:szCs w:val="26"/>
              </w:rPr>
              <w:t>”</w:t>
            </w:r>
            <w:r>
              <w:rPr>
                <w:rFonts w:ascii="Arial" w:hAnsi="Arial" w:cs="Arial"/>
                <w:color w:val="000000" w:themeColor="text1"/>
                <w:sz w:val="26"/>
                <w:szCs w:val="26"/>
              </w:rPr>
              <w:t xml:space="preserve"> delle funzioni, con una separatezza e talora </w:t>
            </w:r>
            <w:proofErr w:type="gramStart"/>
            <w:r>
              <w:rPr>
                <w:rFonts w:ascii="Arial" w:hAnsi="Arial" w:cs="Arial"/>
                <w:color w:val="000000" w:themeColor="text1"/>
                <w:sz w:val="26"/>
                <w:szCs w:val="26"/>
              </w:rPr>
              <w:t>financo  contrapposizioni</w:t>
            </w:r>
            <w:proofErr w:type="gramEnd"/>
            <w:r>
              <w:rPr>
                <w:rFonts w:ascii="Arial" w:hAnsi="Arial" w:cs="Arial"/>
                <w:color w:val="000000" w:themeColor="text1"/>
                <w:sz w:val="26"/>
                <w:szCs w:val="26"/>
              </w:rPr>
              <w:t xml:space="preserve"> interne tra le aree.</w:t>
            </w:r>
          </w:p>
          <w:p w14:paraId="553791FE" w14:textId="77777777" w:rsidR="00ED1849" w:rsidRDefault="00ED1849" w:rsidP="00ED1849">
            <w:pPr>
              <w:shd w:val="clear" w:color="auto" w:fill="FFFFFF"/>
              <w:jc w:val="both"/>
              <w:rPr>
                <w:rFonts w:ascii="Arial" w:hAnsi="Arial" w:cs="Arial"/>
                <w:color w:val="000000"/>
                <w:sz w:val="26"/>
                <w:szCs w:val="26"/>
              </w:rPr>
            </w:pPr>
            <w:r w:rsidRPr="001768B2">
              <w:rPr>
                <w:rFonts w:ascii="Arial" w:hAnsi="Arial" w:cs="Arial"/>
                <w:color w:val="000000"/>
                <w:sz w:val="26"/>
                <w:szCs w:val="26"/>
              </w:rPr>
              <w:t>Le sezioni giurisdizionali sul territorio</w:t>
            </w:r>
            <w:r>
              <w:rPr>
                <w:rFonts w:ascii="Arial" w:hAnsi="Arial" w:cs="Arial"/>
                <w:color w:val="000000"/>
                <w:sz w:val="26"/>
                <w:szCs w:val="26"/>
              </w:rPr>
              <w:t>, nella maggior parte delle regioni,</w:t>
            </w:r>
            <w:r w:rsidRPr="001768B2">
              <w:rPr>
                <w:rFonts w:ascii="Arial" w:hAnsi="Arial" w:cs="Arial"/>
                <w:color w:val="000000"/>
                <w:sz w:val="26"/>
                <w:szCs w:val="26"/>
              </w:rPr>
              <w:t xml:space="preserve"> appalesano numeri “risibili”, </w:t>
            </w:r>
            <w:r w:rsidRPr="00E116FC">
              <w:rPr>
                <w:rFonts w:ascii="Arial" w:hAnsi="Arial" w:cs="Arial"/>
                <w:b/>
                <w:color w:val="000000"/>
                <w:sz w:val="26"/>
                <w:szCs w:val="26"/>
              </w:rPr>
              <w:t>mentre le sezioni di controllo non riescono ad assolvere a tutte le funzioni</w:t>
            </w:r>
            <w:r w:rsidRPr="001768B2">
              <w:rPr>
                <w:rFonts w:ascii="Arial" w:hAnsi="Arial" w:cs="Arial"/>
                <w:color w:val="000000"/>
                <w:sz w:val="26"/>
                <w:szCs w:val="26"/>
              </w:rPr>
              <w:t>.</w:t>
            </w:r>
            <w:r>
              <w:rPr>
                <w:rFonts w:ascii="Arial" w:hAnsi="Arial" w:cs="Arial"/>
                <w:color w:val="000000"/>
                <w:sz w:val="26"/>
                <w:szCs w:val="26"/>
              </w:rPr>
              <w:t xml:space="preserve"> </w:t>
            </w:r>
          </w:p>
          <w:p w14:paraId="25F43327" w14:textId="1A068C8E" w:rsidR="00ED1849" w:rsidRPr="001768B2" w:rsidRDefault="006D5B59" w:rsidP="00ED1849">
            <w:pPr>
              <w:jc w:val="both"/>
              <w:rPr>
                <w:rFonts w:ascii="Arial" w:hAnsi="Arial" w:cs="Arial"/>
                <w:color w:val="000000" w:themeColor="text1"/>
                <w:sz w:val="26"/>
                <w:szCs w:val="26"/>
              </w:rPr>
            </w:pPr>
            <w:proofErr w:type="gramStart"/>
            <w:r>
              <w:rPr>
                <w:rFonts w:ascii="Arial" w:hAnsi="Arial" w:cs="Arial"/>
                <w:color w:val="000000" w:themeColor="text1"/>
                <w:sz w:val="26"/>
                <w:szCs w:val="26"/>
              </w:rPr>
              <w:t>E’</w:t>
            </w:r>
            <w:proofErr w:type="gram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cio</w:t>
            </w:r>
            <w:proofErr w:type="spellEnd"/>
            <w:r>
              <w:rPr>
                <w:rFonts w:ascii="Arial" w:hAnsi="Arial" w:cs="Arial"/>
                <w:color w:val="000000" w:themeColor="text1"/>
                <w:sz w:val="26"/>
                <w:szCs w:val="26"/>
              </w:rPr>
              <w:t xml:space="preserve"> chiaramente con aumento delle attività di controllo peggiorerà.</w:t>
            </w:r>
          </w:p>
          <w:p w14:paraId="48843E9B" w14:textId="77777777" w:rsidR="00ED1849" w:rsidRPr="001768B2" w:rsidRDefault="00ED1849" w:rsidP="006A0B96">
            <w:pPr>
              <w:shd w:val="clear" w:color="auto" w:fill="FFFFFF"/>
              <w:jc w:val="both"/>
              <w:rPr>
                <w:rFonts w:ascii="Arial" w:hAnsi="Arial" w:cs="Arial"/>
                <w:color w:val="000000"/>
                <w:sz w:val="26"/>
                <w:szCs w:val="26"/>
              </w:rPr>
            </w:pPr>
          </w:p>
          <w:p w14:paraId="73113940" w14:textId="5AA28D6A" w:rsidR="006A0B96" w:rsidRPr="001768B2" w:rsidRDefault="006A0B96" w:rsidP="001768B2">
            <w:pPr>
              <w:jc w:val="both"/>
              <w:rPr>
                <w:rFonts w:ascii="Arial" w:hAnsi="Arial" w:cs="Arial"/>
                <w:sz w:val="26"/>
                <w:szCs w:val="26"/>
              </w:rPr>
            </w:pPr>
          </w:p>
        </w:tc>
        <w:tc>
          <w:tcPr>
            <w:tcW w:w="4814" w:type="dxa"/>
          </w:tcPr>
          <w:p w14:paraId="07F0BCC7" w14:textId="3D5C1B38" w:rsidR="00ED1849" w:rsidRDefault="00E705BF" w:rsidP="00E705BF">
            <w:pPr>
              <w:jc w:val="both"/>
              <w:rPr>
                <w:rFonts w:ascii="Arial" w:hAnsi="Arial" w:cs="Arial"/>
                <w:color w:val="000000" w:themeColor="text1"/>
                <w:sz w:val="26"/>
                <w:szCs w:val="26"/>
              </w:rPr>
            </w:pPr>
            <w:r w:rsidRPr="00E705BF">
              <w:rPr>
                <w:rFonts w:ascii="Arial" w:hAnsi="Arial" w:cs="Arial"/>
                <w:color w:val="000000" w:themeColor="text1"/>
                <w:sz w:val="26"/>
                <w:szCs w:val="26"/>
              </w:rPr>
              <w:t xml:space="preserve">La </w:t>
            </w:r>
            <w:r w:rsidR="006D5B59">
              <w:rPr>
                <w:rFonts w:ascii="Arial" w:hAnsi="Arial" w:cs="Arial"/>
                <w:color w:val="000000" w:themeColor="text1"/>
                <w:sz w:val="26"/>
                <w:szCs w:val="26"/>
              </w:rPr>
              <w:t>C</w:t>
            </w:r>
            <w:r w:rsidRPr="00E705BF">
              <w:rPr>
                <w:rFonts w:ascii="Arial" w:hAnsi="Arial" w:cs="Arial"/>
                <w:color w:val="000000" w:themeColor="text1"/>
                <w:sz w:val="26"/>
                <w:szCs w:val="26"/>
              </w:rPr>
              <w:t xml:space="preserve">ostituzione </w:t>
            </w:r>
            <w:proofErr w:type="spellStart"/>
            <w:r w:rsidR="00ED1849">
              <w:rPr>
                <w:rFonts w:ascii="Arial" w:hAnsi="Arial" w:cs="Arial"/>
                <w:color w:val="000000" w:themeColor="text1"/>
                <w:sz w:val="26"/>
                <w:szCs w:val="26"/>
              </w:rPr>
              <w:t>attrinuisce</w:t>
            </w:r>
            <w:proofErr w:type="spellEnd"/>
            <w:r w:rsidR="00ED1849">
              <w:rPr>
                <w:rFonts w:ascii="Arial" w:hAnsi="Arial" w:cs="Arial"/>
                <w:color w:val="000000" w:themeColor="text1"/>
                <w:sz w:val="26"/>
                <w:szCs w:val="26"/>
              </w:rPr>
              <w:t xml:space="preserve"> innanzitutto all</w:t>
            </w:r>
            <w:r w:rsidRPr="00E705BF">
              <w:rPr>
                <w:rFonts w:ascii="Arial" w:hAnsi="Arial" w:cs="Arial"/>
                <w:color w:val="000000" w:themeColor="text1"/>
                <w:sz w:val="26"/>
                <w:szCs w:val="26"/>
              </w:rPr>
              <w:t>a Corte dei conti la funzione di controllo (art. 100 Cost. quale organo ausiliario del Governo: titolo III, sezione III</w:t>
            </w:r>
            <w:r w:rsidR="00ED1849">
              <w:rPr>
                <w:rFonts w:ascii="Arial" w:hAnsi="Arial" w:cs="Arial"/>
                <w:color w:val="000000" w:themeColor="text1"/>
                <w:sz w:val="26"/>
                <w:szCs w:val="26"/>
              </w:rPr>
              <w:t xml:space="preserve"> ed</w:t>
            </w:r>
            <w:r w:rsidRPr="00E705BF">
              <w:rPr>
                <w:rFonts w:ascii="Arial" w:hAnsi="Arial" w:cs="Arial"/>
                <w:color w:val="000000"/>
                <w:sz w:val="26"/>
                <w:szCs w:val="26"/>
                <w:shd w:val="clear" w:color="auto" w:fill="FFFFFF"/>
              </w:rPr>
              <w:t xml:space="preserve"> </w:t>
            </w:r>
            <w:r w:rsidR="006D5B59">
              <w:rPr>
                <w:rFonts w:ascii="Arial" w:hAnsi="Arial" w:cs="Arial"/>
                <w:color w:val="000000"/>
                <w:sz w:val="26"/>
                <w:szCs w:val="26"/>
                <w:shd w:val="clear" w:color="auto" w:fill="FFFFFF"/>
              </w:rPr>
              <w:t>il</w:t>
            </w:r>
            <w:r w:rsidRPr="00E705BF">
              <w:rPr>
                <w:rFonts w:ascii="Arial" w:hAnsi="Arial" w:cs="Arial"/>
                <w:color w:val="000000"/>
                <w:sz w:val="26"/>
                <w:szCs w:val="26"/>
                <w:shd w:val="clear" w:color="auto" w:fill="FFFFFF"/>
              </w:rPr>
              <w:t xml:space="preserve"> controllo sulla gestione finanziaria degli enti a cui lo Stato contribuisce in via ordinaria</w:t>
            </w:r>
            <w:r w:rsidR="006D5B59">
              <w:rPr>
                <w:rFonts w:ascii="Arial" w:hAnsi="Arial" w:cs="Arial"/>
                <w:color w:val="000000"/>
                <w:sz w:val="26"/>
                <w:szCs w:val="26"/>
                <w:shd w:val="clear" w:color="auto" w:fill="FFFFFF"/>
              </w:rPr>
              <w:t>)</w:t>
            </w:r>
            <w:r w:rsidRPr="00E705BF">
              <w:rPr>
                <w:rFonts w:ascii="Arial" w:hAnsi="Arial" w:cs="Arial"/>
                <w:color w:val="000000" w:themeColor="text1"/>
                <w:sz w:val="26"/>
                <w:szCs w:val="26"/>
              </w:rPr>
              <w:t>.</w:t>
            </w:r>
            <w:r>
              <w:rPr>
                <w:rFonts w:ascii="Arial" w:hAnsi="Arial" w:cs="Arial"/>
                <w:color w:val="000000" w:themeColor="text1"/>
                <w:sz w:val="26"/>
                <w:szCs w:val="26"/>
              </w:rPr>
              <w:t xml:space="preserve"> </w:t>
            </w:r>
          </w:p>
          <w:p w14:paraId="02EB3299" w14:textId="1A892170" w:rsidR="00ED1849" w:rsidRDefault="00E705BF" w:rsidP="00E705BF">
            <w:pPr>
              <w:jc w:val="both"/>
              <w:rPr>
                <w:rFonts w:ascii="Arial" w:hAnsi="Arial" w:cs="Arial"/>
                <w:color w:val="000000" w:themeColor="text1"/>
                <w:sz w:val="26"/>
                <w:szCs w:val="26"/>
              </w:rPr>
            </w:pPr>
            <w:r>
              <w:rPr>
                <w:rFonts w:ascii="Arial" w:hAnsi="Arial" w:cs="Arial"/>
                <w:color w:val="000000" w:themeColor="text1"/>
                <w:sz w:val="26"/>
                <w:szCs w:val="26"/>
              </w:rPr>
              <w:t>In più ha la giurisdizione sulla materia contabile</w:t>
            </w:r>
            <w:r w:rsidR="006D5B59">
              <w:rPr>
                <w:rFonts w:ascii="Arial" w:hAnsi="Arial" w:cs="Arial"/>
                <w:color w:val="000000" w:themeColor="text1"/>
                <w:sz w:val="26"/>
                <w:szCs w:val="26"/>
              </w:rPr>
              <w:t xml:space="preserve"> ex art. 103 </w:t>
            </w:r>
            <w:proofErr w:type="gramStart"/>
            <w:r w:rsidR="006D5B59">
              <w:rPr>
                <w:rFonts w:ascii="Arial" w:hAnsi="Arial" w:cs="Arial"/>
                <w:color w:val="000000" w:themeColor="text1"/>
                <w:sz w:val="26"/>
                <w:szCs w:val="26"/>
              </w:rPr>
              <w:t>C.</w:t>
            </w:r>
            <w:r>
              <w:rPr>
                <w:rFonts w:ascii="Arial" w:hAnsi="Arial" w:cs="Arial"/>
                <w:color w:val="000000" w:themeColor="text1"/>
                <w:sz w:val="26"/>
                <w:szCs w:val="26"/>
              </w:rPr>
              <w:t>.</w:t>
            </w:r>
            <w:proofErr w:type="gramEnd"/>
            <w:r>
              <w:rPr>
                <w:rFonts w:ascii="Arial" w:hAnsi="Arial" w:cs="Arial"/>
                <w:color w:val="000000" w:themeColor="text1"/>
                <w:sz w:val="26"/>
                <w:szCs w:val="26"/>
              </w:rPr>
              <w:t xml:space="preserve"> </w:t>
            </w:r>
          </w:p>
          <w:p w14:paraId="17BEEEB0" w14:textId="0B00B323" w:rsidR="00E705BF" w:rsidRPr="006D5B59" w:rsidRDefault="00E705BF" w:rsidP="00E705BF">
            <w:pPr>
              <w:jc w:val="both"/>
              <w:rPr>
                <w:rFonts w:ascii="Arial" w:hAnsi="Arial" w:cs="Arial"/>
                <w:b/>
                <w:color w:val="000000" w:themeColor="text1"/>
                <w:sz w:val="26"/>
                <w:szCs w:val="26"/>
              </w:rPr>
            </w:pPr>
            <w:r w:rsidRPr="006D5B59">
              <w:rPr>
                <w:rFonts w:ascii="Arial" w:hAnsi="Arial" w:cs="Arial"/>
                <w:b/>
                <w:color w:val="000000" w:themeColor="text1"/>
                <w:sz w:val="26"/>
                <w:szCs w:val="26"/>
              </w:rPr>
              <w:t xml:space="preserve">Ma </w:t>
            </w:r>
            <w:r w:rsidR="006D5B59" w:rsidRPr="006D5B59">
              <w:rPr>
                <w:rFonts w:ascii="Arial" w:hAnsi="Arial" w:cs="Arial"/>
                <w:b/>
                <w:color w:val="000000" w:themeColor="text1"/>
                <w:sz w:val="26"/>
                <w:szCs w:val="26"/>
              </w:rPr>
              <w:t>resta</w:t>
            </w:r>
            <w:r w:rsidRPr="006D5B59">
              <w:rPr>
                <w:rFonts w:ascii="Arial" w:hAnsi="Arial" w:cs="Arial"/>
                <w:b/>
                <w:color w:val="000000" w:themeColor="text1"/>
                <w:sz w:val="26"/>
                <w:szCs w:val="26"/>
              </w:rPr>
              <w:t xml:space="preserve"> un unicum la sua funzione.</w:t>
            </w:r>
          </w:p>
          <w:p w14:paraId="32462DB8" w14:textId="4F49DDB2" w:rsidR="00E705BF" w:rsidRDefault="00E705BF" w:rsidP="00E705BF">
            <w:pPr>
              <w:shd w:val="clear" w:color="auto" w:fill="FFFFFF"/>
              <w:jc w:val="both"/>
              <w:rPr>
                <w:rFonts w:ascii="Arial" w:hAnsi="Arial" w:cs="Arial"/>
                <w:b/>
                <w:color w:val="000000"/>
                <w:sz w:val="26"/>
                <w:szCs w:val="26"/>
              </w:rPr>
            </w:pPr>
            <w:r w:rsidRPr="001768B2">
              <w:rPr>
                <w:rFonts w:ascii="Arial" w:hAnsi="Arial" w:cs="Arial"/>
                <w:color w:val="000000"/>
                <w:sz w:val="26"/>
                <w:szCs w:val="26"/>
              </w:rPr>
              <w:t>Occorre</w:t>
            </w:r>
            <w:r>
              <w:rPr>
                <w:rFonts w:ascii="Arial" w:hAnsi="Arial" w:cs="Arial"/>
                <w:color w:val="000000"/>
                <w:sz w:val="26"/>
                <w:szCs w:val="26"/>
              </w:rPr>
              <w:t xml:space="preserve"> innanzitutto</w:t>
            </w:r>
            <w:r w:rsidRPr="001768B2">
              <w:rPr>
                <w:rFonts w:ascii="Arial" w:hAnsi="Arial" w:cs="Arial"/>
                <w:color w:val="000000"/>
                <w:sz w:val="26"/>
                <w:szCs w:val="26"/>
              </w:rPr>
              <w:t xml:space="preserve"> unificare le funzioni di </w:t>
            </w:r>
            <w:r w:rsidRPr="00ED1849">
              <w:rPr>
                <w:rFonts w:ascii="Arial" w:hAnsi="Arial" w:cs="Arial"/>
                <w:b/>
                <w:color w:val="000000"/>
                <w:sz w:val="26"/>
                <w:szCs w:val="26"/>
              </w:rPr>
              <w:t>controllo/referenti/giurisdizionali</w:t>
            </w:r>
            <w:r w:rsidRPr="001768B2">
              <w:rPr>
                <w:rFonts w:ascii="Arial" w:hAnsi="Arial" w:cs="Arial"/>
                <w:color w:val="000000"/>
                <w:sz w:val="26"/>
                <w:szCs w:val="26"/>
              </w:rPr>
              <w:t xml:space="preserve"> (perché unico è il concorso, unica la carriera, identica la professionalità), separandole </w:t>
            </w:r>
            <w:r w:rsidR="00E116FC" w:rsidRPr="00E116FC">
              <w:rPr>
                <w:rFonts w:ascii="Arial" w:hAnsi="Arial" w:cs="Arial"/>
                <w:b/>
                <w:color w:val="000000"/>
                <w:sz w:val="26"/>
                <w:szCs w:val="26"/>
              </w:rPr>
              <w:t xml:space="preserve">viceversa </w:t>
            </w:r>
            <w:r w:rsidRPr="00E116FC">
              <w:rPr>
                <w:rFonts w:ascii="Arial" w:hAnsi="Arial" w:cs="Arial"/>
                <w:b/>
                <w:color w:val="000000"/>
                <w:sz w:val="26"/>
                <w:szCs w:val="26"/>
              </w:rPr>
              <w:t>da quelle inquirenti</w:t>
            </w:r>
            <w:r w:rsidR="00E116FC" w:rsidRPr="00E116FC">
              <w:rPr>
                <w:rFonts w:ascii="Arial" w:hAnsi="Arial" w:cs="Arial"/>
                <w:b/>
                <w:color w:val="000000"/>
                <w:sz w:val="26"/>
                <w:szCs w:val="26"/>
              </w:rPr>
              <w:t>.</w:t>
            </w:r>
          </w:p>
          <w:p w14:paraId="5FCADCB0" w14:textId="77777777" w:rsidR="006D5B59" w:rsidRDefault="006D5B59" w:rsidP="00E705BF">
            <w:pPr>
              <w:shd w:val="clear" w:color="auto" w:fill="FFFFFF"/>
              <w:jc w:val="both"/>
              <w:rPr>
                <w:rFonts w:ascii="Arial" w:hAnsi="Arial" w:cs="Arial"/>
                <w:b/>
                <w:color w:val="000000"/>
                <w:sz w:val="26"/>
                <w:szCs w:val="26"/>
              </w:rPr>
            </w:pPr>
          </w:p>
          <w:p w14:paraId="3E4087A3" w14:textId="048142C7" w:rsidR="00F4557D" w:rsidRPr="001768B2" w:rsidRDefault="00F4557D" w:rsidP="00E705BF">
            <w:pPr>
              <w:shd w:val="clear" w:color="auto" w:fill="FFFFFF"/>
              <w:jc w:val="both"/>
              <w:rPr>
                <w:rFonts w:ascii="Arial" w:hAnsi="Arial" w:cs="Arial"/>
                <w:color w:val="000000"/>
                <w:sz w:val="26"/>
                <w:szCs w:val="26"/>
              </w:rPr>
            </w:pPr>
            <w:r>
              <w:rPr>
                <w:rFonts w:ascii="Arial" w:hAnsi="Arial" w:cs="Arial"/>
                <w:color w:val="000000"/>
                <w:sz w:val="26"/>
                <w:szCs w:val="26"/>
              </w:rPr>
              <w:t>In questo modo si libererebbero enormi risorse</w:t>
            </w:r>
            <w:r w:rsidR="00ED1849">
              <w:rPr>
                <w:rFonts w:ascii="Arial" w:hAnsi="Arial" w:cs="Arial"/>
                <w:color w:val="000000"/>
                <w:sz w:val="26"/>
                <w:szCs w:val="26"/>
              </w:rPr>
              <w:t xml:space="preserve"> per il controllo </w:t>
            </w:r>
            <w:r w:rsidR="00ED1849" w:rsidRPr="006D5B59">
              <w:rPr>
                <w:rFonts w:ascii="Arial" w:hAnsi="Arial" w:cs="Arial"/>
                <w:i/>
                <w:color w:val="000000"/>
                <w:sz w:val="26"/>
                <w:szCs w:val="26"/>
              </w:rPr>
              <w:t>on demand</w:t>
            </w:r>
            <w:r w:rsidR="006D5B59">
              <w:rPr>
                <w:rFonts w:ascii="Arial" w:hAnsi="Arial" w:cs="Arial"/>
                <w:color w:val="000000"/>
                <w:sz w:val="26"/>
                <w:szCs w:val="26"/>
              </w:rPr>
              <w:t>,</w:t>
            </w:r>
            <w:r>
              <w:rPr>
                <w:rFonts w:ascii="Arial" w:hAnsi="Arial" w:cs="Arial"/>
                <w:color w:val="000000"/>
                <w:sz w:val="26"/>
                <w:szCs w:val="26"/>
              </w:rPr>
              <w:t xml:space="preserve"> visti gli attuali numeri della giurisdizione</w:t>
            </w:r>
            <w:r w:rsidR="00ED1849">
              <w:rPr>
                <w:rFonts w:ascii="Arial" w:hAnsi="Arial" w:cs="Arial"/>
                <w:color w:val="000000"/>
                <w:sz w:val="26"/>
                <w:szCs w:val="26"/>
              </w:rPr>
              <w:t>, e vista l’invarianza di bilancio presupposta dal disegno di legge.</w:t>
            </w:r>
          </w:p>
          <w:p w14:paraId="6BB5A34A" w14:textId="77777777" w:rsidR="00E705BF" w:rsidRPr="00E705BF" w:rsidRDefault="00E705BF" w:rsidP="00E705BF">
            <w:pPr>
              <w:jc w:val="both"/>
              <w:rPr>
                <w:rFonts w:ascii="Arial" w:hAnsi="Arial" w:cs="Arial"/>
                <w:color w:val="000000" w:themeColor="text1"/>
                <w:sz w:val="26"/>
                <w:szCs w:val="26"/>
              </w:rPr>
            </w:pPr>
          </w:p>
          <w:p w14:paraId="76CE5032" w14:textId="1A40DA2F" w:rsidR="005E6FBB" w:rsidRPr="001768B2" w:rsidRDefault="005E6FBB" w:rsidP="005E6FBB">
            <w:pPr>
              <w:rPr>
                <w:rFonts w:ascii="Arial" w:hAnsi="Arial" w:cs="Arial"/>
                <w:sz w:val="26"/>
                <w:szCs w:val="26"/>
              </w:rPr>
            </w:pPr>
          </w:p>
        </w:tc>
      </w:tr>
      <w:tr w:rsidR="000228A3" w:rsidRPr="001768B2" w14:paraId="72A26FEC" w14:textId="77777777" w:rsidTr="005E6FBB">
        <w:tc>
          <w:tcPr>
            <w:tcW w:w="4814" w:type="dxa"/>
          </w:tcPr>
          <w:p w14:paraId="662A0EE0" w14:textId="18FB18AE" w:rsidR="006A0B96" w:rsidRDefault="00ED1849" w:rsidP="00BE4A37">
            <w:pPr>
              <w:shd w:val="clear" w:color="auto" w:fill="FFFFFF"/>
              <w:jc w:val="both"/>
              <w:rPr>
                <w:rFonts w:ascii="Arial" w:hAnsi="Arial" w:cs="Arial"/>
                <w:color w:val="000000"/>
                <w:sz w:val="26"/>
                <w:szCs w:val="26"/>
              </w:rPr>
            </w:pPr>
            <w:r>
              <w:rPr>
                <w:rFonts w:ascii="Arial" w:hAnsi="Arial" w:cs="Arial"/>
                <w:sz w:val="26"/>
                <w:szCs w:val="26"/>
              </w:rPr>
              <w:t>Passando alla p</w:t>
            </w:r>
            <w:r w:rsidR="006A0B96" w:rsidRPr="001768B2">
              <w:rPr>
                <w:rFonts w:ascii="Arial" w:hAnsi="Arial" w:cs="Arial"/>
                <w:sz w:val="26"/>
                <w:szCs w:val="26"/>
              </w:rPr>
              <w:t>aura della firma</w:t>
            </w:r>
            <w:r w:rsidR="006A0B96">
              <w:rPr>
                <w:rFonts w:ascii="Arial" w:hAnsi="Arial" w:cs="Arial"/>
                <w:sz w:val="26"/>
                <w:szCs w:val="26"/>
              </w:rPr>
              <w:t>,</w:t>
            </w:r>
            <w:r w:rsidR="00E116FC">
              <w:rPr>
                <w:rFonts w:ascii="Arial" w:hAnsi="Arial" w:cs="Arial"/>
                <w:sz w:val="26"/>
                <w:szCs w:val="26"/>
              </w:rPr>
              <w:t xml:space="preserve"> da cui </w:t>
            </w:r>
            <w:r>
              <w:rPr>
                <w:rFonts w:ascii="Arial" w:hAnsi="Arial" w:cs="Arial"/>
                <w:sz w:val="26"/>
                <w:szCs w:val="26"/>
              </w:rPr>
              <w:t xml:space="preserve">derivano </w:t>
            </w:r>
            <w:r w:rsidR="00E116FC">
              <w:rPr>
                <w:rFonts w:ascii="Arial" w:hAnsi="Arial" w:cs="Arial"/>
                <w:sz w:val="26"/>
                <w:szCs w:val="26"/>
              </w:rPr>
              <w:t>alcune norme</w:t>
            </w:r>
            <w:r>
              <w:rPr>
                <w:rFonts w:ascii="Arial" w:hAnsi="Arial" w:cs="Arial"/>
                <w:sz w:val="26"/>
                <w:szCs w:val="26"/>
              </w:rPr>
              <w:t xml:space="preserve"> del </w:t>
            </w:r>
            <w:proofErr w:type="spellStart"/>
            <w:r>
              <w:rPr>
                <w:rFonts w:ascii="Arial" w:hAnsi="Arial" w:cs="Arial"/>
                <w:sz w:val="26"/>
                <w:szCs w:val="26"/>
              </w:rPr>
              <w:t>ddl</w:t>
            </w:r>
            <w:proofErr w:type="spellEnd"/>
            <w:r w:rsidR="00E116FC">
              <w:rPr>
                <w:rFonts w:ascii="Arial" w:hAnsi="Arial" w:cs="Arial"/>
                <w:sz w:val="26"/>
                <w:szCs w:val="26"/>
              </w:rPr>
              <w:t xml:space="preserve"> ed i</w:t>
            </w:r>
            <w:r>
              <w:rPr>
                <w:rFonts w:ascii="Arial" w:hAnsi="Arial" w:cs="Arial"/>
                <w:sz w:val="26"/>
                <w:szCs w:val="26"/>
              </w:rPr>
              <w:t xml:space="preserve"> famosi </w:t>
            </w:r>
            <w:r w:rsidR="006D5B59">
              <w:rPr>
                <w:rFonts w:ascii="Arial" w:hAnsi="Arial" w:cs="Arial"/>
                <w:sz w:val="26"/>
                <w:szCs w:val="26"/>
              </w:rPr>
              <w:t>“</w:t>
            </w:r>
            <w:r w:rsidR="00E116FC">
              <w:rPr>
                <w:rFonts w:ascii="Arial" w:hAnsi="Arial" w:cs="Arial"/>
                <w:sz w:val="26"/>
                <w:szCs w:val="26"/>
              </w:rPr>
              <w:t>tetti</w:t>
            </w:r>
            <w:r w:rsidR="006D5B59">
              <w:rPr>
                <w:rFonts w:ascii="Arial" w:hAnsi="Arial" w:cs="Arial"/>
                <w:sz w:val="26"/>
                <w:szCs w:val="26"/>
              </w:rPr>
              <w:t>”</w:t>
            </w:r>
            <w:r w:rsidR="00E116FC">
              <w:rPr>
                <w:rFonts w:ascii="Arial" w:hAnsi="Arial" w:cs="Arial"/>
                <w:sz w:val="26"/>
                <w:szCs w:val="26"/>
              </w:rPr>
              <w:t>.</w:t>
            </w:r>
            <w:r w:rsidR="006A0B96">
              <w:rPr>
                <w:rFonts w:ascii="Arial" w:hAnsi="Arial" w:cs="Arial"/>
                <w:sz w:val="26"/>
                <w:szCs w:val="26"/>
              </w:rPr>
              <w:t xml:space="preserve"> </w:t>
            </w:r>
            <w:r>
              <w:rPr>
                <w:rFonts w:ascii="Arial" w:hAnsi="Arial" w:cs="Arial"/>
                <w:sz w:val="26"/>
                <w:szCs w:val="26"/>
              </w:rPr>
              <w:t>Essa è p</w:t>
            </w:r>
            <w:r w:rsidR="006A0B96">
              <w:rPr>
                <w:rFonts w:ascii="Arial" w:hAnsi="Arial" w:cs="Arial"/>
                <w:sz w:val="26"/>
                <w:szCs w:val="26"/>
              </w:rPr>
              <w:t>iù dovuta ad iniziative ad alto tasso mediatico che a</w:t>
            </w:r>
            <w:r>
              <w:rPr>
                <w:rFonts w:ascii="Arial" w:hAnsi="Arial" w:cs="Arial"/>
                <w:sz w:val="26"/>
                <w:szCs w:val="26"/>
              </w:rPr>
              <w:t>lla</w:t>
            </w:r>
            <w:r w:rsidR="006A0B96">
              <w:rPr>
                <w:rFonts w:ascii="Arial" w:hAnsi="Arial" w:cs="Arial"/>
                <w:sz w:val="26"/>
                <w:szCs w:val="26"/>
              </w:rPr>
              <w:t xml:space="preserve"> realtà dei fatti</w:t>
            </w:r>
            <w:r w:rsidR="00E116FC">
              <w:rPr>
                <w:rFonts w:ascii="Arial" w:hAnsi="Arial" w:cs="Arial"/>
                <w:sz w:val="26"/>
                <w:szCs w:val="26"/>
              </w:rPr>
              <w:t xml:space="preserve"> ed a mio avviso non va risolta con tetti</w:t>
            </w:r>
            <w:r>
              <w:rPr>
                <w:rFonts w:ascii="Arial" w:hAnsi="Arial" w:cs="Arial"/>
                <w:sz w:val="26"/>
                <w:szCs w:val="26"/>
              </w:rPr>
              <w:t>, limitazioni od esclusioni</w:t>
            </w:r>
            <w:r w:rsidR="006D5B59">
              <w:rPr>
                <w:rFonts w:ascii="Arial" w:hAnsi="Arial" w:cs="Arial"/>
                <w:sz w:val="26"/>
                <w:szCs w:val="26"/>
              </w:rPr>
              <w:t xml:space="preserve"> della responsabilità</w:t>
            </w:r>
            <w:r w:rsidR="006A0B96">
              <w:rPr>
                <w:rFonts w:ascii="Arial" w:hAnsi="Arial" w:cs="Arial"/>
                <w:sz w:val="26"/>
                <w:szCs w:val="26"/>
              </w:rPr>
              <w:t>.</w:t>
            </w:r>
          </w:p>
          <w:p w14:paraId="28DD4681" w14:textId="77777777" w:rsidR="00BE4A37" w:rsidRDefault="00BE4A37" w:rsidP="00ED1849">
            <w:pPr>
              <w:jc w:val="both"/>
              <w:rPr>
                <w:rFonts w:ascii="Arial" w:hAnsi="Arial" w:cs="Arial"/>
                <w:sz w:val="26"/>
                <w:szCs w:val="26"/>
              </w:rPr>
            </w:pPr>
          </w:p>
          <w:p w14:paraId="65D53D35" w14:textId="5353428B" w:rsidR="00ED1849" w:rsidRPr="001768B2" w:rsidRDefault="00ED1849" w:rsidP="00ED1849">
            <w:pPr>
              <w:jc w:val="both"/>
              <w:rPr>
                <w:rFonts w:ascii="Arial" w:hAnsi="Arial" w:cs="Arial"/>
                <w:sz w:val="26"/>
                <w:szCs w:val="26"/>
              </w:rPr>
            </w:pPr>
            <w:r>
              <w:rPr>
                <w:rFonts w:ascii="Arial" w:hAnsi="Arial" w:cs="Arial"/>
                <w:sz w:val="26"/>
                <w:szCs w:val="26"/>
              </w:rPr>
              <w:t xml:space="preserve">Come abbiamo visto i numeri della giurisdizione sono risibili e quindi tali anche i </w:t>
            </w:r>
            <w:r w:rsidR="006D5B59">
              <w:rPr>
                <w:rFonts w:ascii="Arial" w:hAnsi="Arial" w:cs="Arial"/>
                <w:sz w:val="26"/>
                <w:szCs w:val="26"/>
              </w:rPr>
              <w:t>giudizi di responsabilità</w:t>
            </w:r>
            <w:r>
              <w:rPr>
                <w:rFonts w:ascii="Arial" w:hAnsi="Arial" w:cs="Arial"/>
                <w:sz w:val="26"/>
                <w:szCs w:val="26"/>
              </w:rPr>
              <w:t xml:space="preserve">. I numeri delle assoluzioni enormi in rapporto. E le </w:t>
            </w:r>
            <w:r>
              <w:rPr>
                <w:rFonts w:ascii="Arial" w:hAnsi="Arial" w:cs="Arial"/>
                <w:sz w:val="26"/>
                <w:szCs w:val="26"/>
              </w:rPr>
              <w:lastRenderedPageBreak/>
              <w:t xml:space="preserve">esecuzioni </w:t>
            </w:r>
            <w:r w:rsidR="006D5B59">
              <w:rPr>
                <w:rFonts w:ascii="Arial" w:hAnsi="Arial" w:cs="Arial"/>
                <w:sz w:val="26"/>
                <w:szCs w:val="26"/>
              </w:rPr>
              <w:t xml:space="preserve">- </w:t>
            </w:r>
            <w:r>
              <w:rPr>
                <w:rFonts w:ascii="Arial" w:hAnsi="Arial" w:cs="Arial"/>
                <w:sz w:val="26"/>
                <w:szCs w:val="26"/>
              </w:rPr>
              <w:t>del poco che resta</w:t>
            </w:r>
            <w:r w:rsidR="006D5B59">
              <w:rPr>
                <w:rFonts w:ascii="Arial" w:hAnsi="Arial" w:cs="Arial"/>
                <w:sz w:val="26"/>
                <w:szCs w:val="26"/>
              </w:rPr>
              <w:t xml:space="preserve"> -</w:t>
            </w:r>
            <w:r>
              <w:rPr>
                <w:rFonts w:ascii="Arial" w:hAnsi="Arial" w:cs="Arial"/>
                <w:sz w:val="26"/>
                <w:szCs w:val="26"/>
              </w:rPr>
              <w:t xml:space="preserve"> languono, quindi la paura ribadiamo è più percezione del pericolo che pericolo.</w:t>
            </w:r>
          </w:p>
        </w:tc>
        <w:tc>
          <w:tcPr>
            <w:tcW w:w="4814" w:type="dxa"/>
          </w:tcPr>
          <w:p w14:paraId="26B9AA0A" w14:textId="2F21B29A" w:rsidR="000228A3" w:rsidRPr="001768B2" w:rsidRDefault="00ED1849" w:rsidP="00951F23">
            <w:pPr>
              <w:jc w:val="both"/>
              <w:rPr>
                <w:rFonts w:ascii="Arial" w:hAnsi="Arial" w:cs="Arial"/>
                <w:sz w:val="26"/>
                <w:szCs w:val="26"/>
              </w:rPr>
            </w:pPr>
            <w:r w:rsidRPr="00ED1849">
              <w:rPr>
                <w:rFonts w:ascii="Arial" w:hAnsi="Arial" w:cs="Arial"/>
                <w:sz w:val="26"/>
                <w:szCs w:val="26"/>
              </w:rPr>
              <w:lastRenderedPageBreak/>
              <w:t>Occorre a</w:t>
            </w:r>
            <w:r w:rsidR="000228A3" w:rsidRPr="00ED1849">
              <w:rPr>
                <w:rFonts w:ascii="Arial" w:hAnsi="Arial" w:cs="Arial"/>
                <w:sz w:val="26"/>
                <w:szCs w:val="26"/>
              </w:rPr>
              <w:t>ttualizzazione</w:t>
            </w:r>
            <w:r w:rsidR="000228A3" w:rsidRPr="001768B2">
              <w:rPr>
                <w:rFonts w:ascii="Arial" w:hAnsi="Arial" w:cs="Arial"/>
                <w:b/>
                <w:sz w:val="26"/>
                <w:szCs w:val="26"/>
              </w:rPr>
              <w:t xml:space="preserve"> dell’</w:t>
            </w:r>
            <w:proofErr w:type="spellStart"/>
            <w:r w:rsidR="000228A3" w:rsidRPr="001768B2">
              <w:rPr>
                <w:rFonts w:ascii="Arial" w:hAnsi="Arial" w:cs="Arial"/>
                <w:b/>
                <w:sz w:val="26"/>
                <w:szCs w:val="26"/>
              </w:rPr>
              <w:t>ausiliarità</w:t>
            </w:r>
            <w:proofErr w:type="spellEnd"/>
            <w:r w:rsidR="00E116FC">
              <w:rPr>
                <w:rFonts w:ascii="Arial" w:hAnsi="Arial" w:cs="Arial"/>
                <w:b/>
                <w:sz w:val="26"/>
                <w:szCs w:val="26"/>
              </w:rPr>
              <w:t xml:space="preserve"> della funzione</w:t>
            </w:r>
            <w:r w:rsidR="000228A3" w:rsidRPr="001768B2">
              <w:rPr>
                <w:rFonts w:ascii="Arial" w:hAnsi="Arial" w:cs="Arial"/>
                <w:sz w:val="26"/>
                <w:szCs w:val="26"/>
              </w:rPr>
              <w:t xml:space="preserve"> nei confronti delle autonomie locali a seguito dell’ampio decentramento della gestione delle risorse finanziarie</w:t>
            </w:r>
            <w:r w:rsidR="00807AC5" w:rsidRPr="001768B2">
              <w:rPr>
                <w:rFonts w:ascii="Arial" w:hAnsi="Arial" w:cs="Arial"/>
                <w:sz w:val="26"/>
                <w:szCs w:val="26"/>
              </w:rPr>
              <w:t xml:space="preserve"> sopravvenuto post Costituzione</w:t>
            </w:r>
            <w:r w:rsidR="00BE4A37" w:rsidRPr="001768B2">
              <w:rPr>
                <w:rFonts w:ascii="Arial" w:hAnsi="Arial" w:cs="Arial"/>
                <w:sz w:val="26"/>
                <w:szCs w:val="26"/>
              </w:rPr>
              <w:t>.</w:t>
            </w:r>
          </w:p>
          <w:p w14:paraId="3BBD194D" w14:textId="0B42DD24" w:rsidR="00BE4A37" w:rsidRPr="001768B2" w:rsidRDefault="00BE4A37" w:rsidP="00951F23">
            <w:pPr>
              <w:shd w:val="clear" w:color="auto" w:fill="FFFFFF"/>
              <w:jc w:val="both"/>
              <w:rPr>
                <w:rFonts w:ascii="Arial" w:hAnsi="Arial" w:cs="Arial"/>
                <w:color w:val="000000" w:themeColor="text1"/>
                <w:sz w:val="26"/>
                <w:szCs w:val="26"/>
              </w:rPr>
            </w:pPr>
            <w:r w:rsidRPr="001768B2">
              <w:rPr>
                <w:rFonts w:ascii="Arial" w:hAnsi="Arial" w:cs="Arial"/>
                <w:color w:val="000000" w:themeColor="text1"/>
                <w:sz w:val="26"/>
                <w:szCs w:val="26"/>
              </w:rPr>
              <w:t xml:space="preserve">Art. 97 Cost. “stella polare” per la mission istituzionale della Corte ancor più che art. 81 Cost. Le pubbliche amministrazioni, in coerenza con l'ordinamento dell'Unione europea, </w:t>
            </w:r>
            <w:r w:rsidRPr="001768B2">
              <w:rPr>
                <w:rFonts w:ascii="Arial" w:hAnsi="Arial" w:cs="Arial"/>
                <w:color w:val="000000" w:themeColor="text1"/>
                <w:sz w:val="26"/>
                <w:szCs w:val="26"/>
              </w:rPr>
              <w:lastRenderedPageBreak/>
              <w:t>assicurano l'equilibrio dei bilanci e la sostenibilità del debito pubblico</w:t>
            </w:r>
            <w:r w:rsidR="00E705BF">
              <w:rPr>
                <w:rFonts w:ascii="Arial" w:hAnsi="Arial" w:cs="Arial"/>
                <w:color w:val="000000" w:themeColor="text1"/>
                <w:sz w:val="26"/>
                <w:szCs w:val="26"/>
              </w:rPr>
              <w:t>.</w:t>
            </w:r>
          </w:p>
          <w:p w14:paraId="2D2486E0" w14:textId="52A7241F" w:rsidR="001768B2" w:rsidRPr="001768B2" w:rsidRDefault="001768B2" w:rsidP="00951F23">
            <w:pPr>
              <w:shd w:val="clear" w:color="auto" w:fill="FFFFFF"/>
              <w:jc w:val="both"/>
              <w:rPr>
                <w:rFonts w:ascii="Arial" w:hAnsi="Arial" w:cs="Arial"/>
                <w:color w:val="000000"/>
                <w:sz w:val="26"/>
                <w:szCs w:val="26"/>
              </w:rPr>
            </w:pPr>
            <w:r w:rsidRPr="001768B2">
              <w:rPr>
                <w:rFonts w:ascii="Arial" w:hAnsi="Arial" w:cs="Arial"/>
                <w:color w:val="000000"/>
                <w:sz w:val="26"/>
                <w:szCs w:val="26"/>
              </w:rPr>
              <w:t xml:space="preserve">Le </w:t>
            </w:r>
            <w:r w:rsidR="00951F23" w:rsidRPr="001768B2">
              <w:rPr>
                <w:rFonts w:ascii="Arial" w:hAnsi="Arial" w:cs="Arial"/>
                <w:color w:val="000000"/>
                <w:sz w:val="26"/>
                <w:szCs w:val="26"/>
              </w:rPr>
              <w:t>funzioni</w:t>
            </w:r>
            <w:r w:rsidR="00E116FC">
              <w:rPr>
                <w:rFonts w:ascii="Arial" w:hAnsi="Arial" w:cs="Arial"/>
                <w:color w:val="000000"/>
                <w:sz w:val="26"/>
                <w:szCs w:val="26"/>
              </w:rPr>
              <w:t xml:space="preserve"> vanno</w:t>
            </w:r>
            <w:r w:rsidR="00951F23" w:rsidRPr="001768B2">
              <w:rPr>
                <w:rFonts w:ascii="Arial" w:hAnsi="Arial" w:cs="Arial"/>
                <w:color w:val="000000"/>
                <w:sz w:val="26"/>
                <w:szCs w:val="26"/>
              </w:rPr>
              <w:t xml:space="preserve"> in stretta sequenza temporale: innanzitutto la Corte deve sviluppare la propria azione maieutica, indicando alla P.A. </w:t>
            </w:r>
            <w:r w:rsidR="00951F23" w:rsidRPr="00E705BF">
              <w:rPr>
                <w:rFonts w:ascii="Arial" w:hAnsi="Arial" w:cs="Arial"/>
                <w:b/>
                <w:color w:val="000000"/>
                <w:sz w:val="26"/>
                <w:szCs w:val="26"/>
              </w:rPr>
              <w:t xml:space="preserve">le corrette linee direttrici orientate verso </w:t>
            </w:r>
            <w:r w:rsidRPr="00E705BF">
              <w:rPr>
                <w:rFonts w:ascii="Arial" w:hAnsi="Arial" w:cs="Arial"/>
                <w:b/>
                <w:color w:val="000000"/>
                <w:sz w:val="26"/>
                <w:szCs w:val="26"/>
              </w:rPr>
              <w:t>l’</w:t>
            </w:r>
            <w:r w:rsidR="00951F23" w:rsidRPr="00E705BF">
              <w:rPr>
                <w:rFonts w:ascii="Arial" w:hAnsi="Arial" w:cs="Arial"/>
                <w:b/>
                <w:color w:val="000000"/>
                <w:sz w:val="26"/>
                <w:szCs w:val="26"/>
              </w:rPr>
              <w:t>art. 97</w:t>
            </w:r>
            <w:r w:rsidR="00951F23" w:rsidRPr="001768B2">
              <w:rPr>
                <w:rFonts w:ascii="Arial" w:hAnsi="Arial" w:cs="Arial"/>
                <w:color w:val="000000"/>
                <w:sz w:val="26"/>
                <w:szCs w:val="26"/>
              </w:rPr>
              <w:t xml:space="preserve">; quindi deve svolgere la propria azione </w:t>
            </w:r>
            <w:proofErr w:type="spellStart"/>
            <w:r w:rsidR="00951F23" w:rsidRPr="001768B2">
              <w:rPr>
                <w:rFonts w:ascii="Arial" w:hAnsi="Arial" w:cs="Arial"/>
                <w:color w:val="000000"/>
                <w:sz w:val="26"/>
                <w:szCs w:val="26"/>
              </w:rPr>
              <w:t>sindacatoria</w:t>
            </w:r>
            <w:proofErr w:type="spellEnd"/>
            <w:r w:rsidRPr="001768B2">
              <w:rPr>
                <w:rFonts w:ascii="Arial" w:hAnsi="Arial" w:cs="Arial"/>
                <w:color w:val="000000"/>
                <w:sz w:val="26"/>
                <w:szCs w:val="26"/>
              </w:rPr>
              <w:t>.</w:t>
            </w:r>
          </w:p>
          <w:p w14:paraId="394E8DA8" w14:textId="4D9E0CE0" w:rsidR="00951F23" w:rsidRPr="001768B2" w:rsidRDefault="001768B2" w:rsidP="00951F23">
            <w:pPr>
              <w:shd w:val="clear" w:color="auto" w:fill="FFFFFF"/>
              <w:jc w:val="both"/>
              <w:rPr>
                <w:rFonts w:ascii="Arial" w:hAnsi="Arial" w:cs="Arial"/>
                <w:color w:val="000000"/>
                <w:sz w:val="26"/>
                <w:szCs w:val="26"/>
              </w:rPr>
            </w:pPr>
            <w:r w:rsidRPr="001768B2">
              <w:rPr>
                <w:rFonts w:ascii="Arial" w:hAnsi="Arial" w:cs="Arial"/>
                <w:color w:val="000000"/>
                <w:sz w:val="26"/>
                <w:szCs w:val="26"/>
              </w:rPr>
              <w:t>Inoltre</w:t>
            </w:r>
            <w:r w:rsidR="00951F23" w:rsidRPr="001768B2">
              <w:rPr>
                <w:rFonts w:ascii="Arial" w:hAnsi="Arial" w:cs="Arial"/>
                <w:color w:val="000000"/>
                <w:sz w:val="26"/>
                <w:szCs w:val="26"/>
              </w:rPr>
              <w:t xml:space="preserve"> deve poter disporre di adeguati </w:t>
            </w:r>
            <w:r w:rsidR="00951F23" w:rsidRPr="00E116FC">
              <w:rPr>
                <w:rFonts w:ascii="Arial" w:hAnsi="Arial" w:cs="Arial"/>
                <w:b/>
                <w:color w:val="000000"/>
                <w:sz w:val="26"/>
                <w:szCs w:val="26"/>
              </w:rPr>
              <w:t>mezzi coercitivi</w:t>
            </w:r>
            <w:r w:rsidR="00951F23" w:rsidRPr="001768B2">
              <w:rPr>
                <w:rFonts w:ascii="Arial" w:hAnsi="Arial" w:cs="Arial"/>
                <w:color w:val="000000"/>
                <w:sz w:val="26"/>
                <w:szCs w:val="26"/>
              </w:rPr>
              <w:t xml:space="preserve">, idonei a conferire il massimo grado di autorevolezza tanto alla funzione maieutica quanto all’azione </w:t>
            </w:r>
            <w:proofErr w:type="spellStart"/>
            <w:r w:rsidR="00951F23" w:rsidRPr="001768B2">
              <w:rPr>
                <w:rFonts w:ascii="Arial" w:hAnsi="Arial" w:cs="Arial"/>
                <w:color w:val="000000"/>
                <w:sz w:val="26"/>
                <w:szCs w:val="26"/>
              </w:rPr>
              <w:t>sindacatoria</w:t>
            </w:r>
            <w:proofErr w:type="spellEnd"/>
            <w:r w:rsidR="00951F23" w:rsidRPr="001768B2">
              <w:rPr>
                <w:rFonts w:ascii="Arial" w:hAnsi="Arial" w:cs="Arial"/>
                <w:color w:val="000000"/>
                <w:sz w:val="26"/>
                <w:szCs w:val="26"/>
              </w:rPr>
              <w:t>.</w:t>
            </w:r>
          </w:p>
          <w:p w14:paraId="409A1849" w14:textId="5F0D927D" w:rsidR="00BE4A37" w:rsidRPr="001768B2" w:rsidRDefault="00BE4A37" w:rsidP="00951F23">
            <w:pPr>
              <w:jc w:val="both"/>
              <w:rPr>
                <w:rFonts w:ascii="Arial" w:hAnsi="Arial" w:cs="Arial"/>
                <w:sz w:val="26"/>
                <w:szCs w:val="26"/>
              </w:rPr>
            </w:pPr>
          </w:p>
        </w:tc>
      </w:tr>
      <w:tr w:rsidR="005E6FBB" w:rsidRPr="001768B2" w14:paraId="5EDFF315" w14:textId="77777777" w:rsidTr="005E6FBB">
        <w:tc>
          <w:tcPr>
            <w:tcW w:w="4814" w:type="dxa"/>
          </w:tcPr>
          <w:p w14:paraId="5758A5DE" w14:textId="1EFFF000" w:rsidR="006A0B96" w:rsidRPr="001768B2" w:rsidRDefault="006A0B96" w:rsidP="006A0B96">
            <w:pPr>
              <w:jc w:val="both"/>
              <w:rPr>
                <w:rFonts w:ascii="Arial" w:hAnsi="Arial" w:cs="Arial"/>
                <w:color w:val="000000"/>
                <w:sz w:val="26"/>
                <w:szCs w:val="26"/>
              </w:rPr>
            </w:pPr>
            <w:r w:rsidRPr="001768B2">
              <w:rPr>
                <w:rFonts w:ascii="Arial" w:hAnsi="Arial" w:cs="Arial"/>
                <w:color w:val="000000"/>
                <w:sz w:val="26"/>
                <w:szCs w:val="26"/>
              </w:rPr>
              <w:lastRenderedPageBreak/>
              <w:t xml:space="preserve">Corte dei conti </w:t>
            </w:r>
            <w:r w:rsidRPr="006A0B96">
              <w:rPr>
                <w:rFonts w:ascii="Arial" w:hAnsi="Arial" w:cs="Arial"/>
                <w:b/>
                <w:color w:val="000000"/>
                <w:sz w:val="26"/>
                <w:szCs w:val="26"/>
              </w:rPr>
              <w:t xml:space="preserve">percepita </w:t>
            </w:r>
            <w:r>
              <w:rPr>
                <w:rFonts w:ascii="Arial" w:hAnsi="Arial" w:cs="Arial"/>
                <w:color w:val="000000"/>
                <w:sz w:val="26"/>
                <w:szCs w:val="26"/>
              </w:rPr>
              <w:t>(che talvolta conta più della effettività come per la corruzione)</w:t>
            </w:r>
            <w:r w:rsidRPr="001768B2">
              <w:rPr>
                <w:rFonts w:ascii="Arial" w:hAnsi="Arial" w:cs="Arial"/>
                <w:color w:val="000000"/>
                <w:sz w:val="26"/>
                <w:szCs w:val="26"/>
              </w:rPr>
              <w:t xml:space="preserve"> dagli amministratori pubblici da ormai troppo tempo, come freno del sistema-paese anziché punto di riferimento per garantire il buon funzionamento della p.a. e supporto nel corretto svolgimento delle attività.</w:t>
            </w:r>
          </w:p>
          <w:p w14:paraId="28FD1952" w14:textId="3B4BAF76" w:rsidR="005E6FBB" w:rsidRPr="001768B2" w:rsidRDefault="005E6FBB" w:rsidP="005E6FBB">
            <w:pPr>
              <w:rPr>
                <w:rFonts w:ascii="Arial" w:hAnsi="Arial" w:cs="Arial"/>
                <w:sz w:val="26"/>
                <w:szCs w:val="26"/>
              </w:rPr>
            </w:pPr>
          </w:p>
        </w:tc>
        <w:tc>
          <w:tcPr>
            <w:tcW w:w="4814" w:type="dxa"/>
          </w:tcPr>
          <w:p w14:paraId="4FFE92C1" w14:textId="04420478" w:rsidR="001768B2" w:rsidRDefault="00912B36" w:rsidP="00BE4A37">
            <w:pPr>
              <w:jc w:val="both"/>
              <w:rPr>
                <w:rFonts w:ascii="Arial" w:hAnsi="Arial" w:cs="Arial"/>
                <w:sz w:val="26"/>
                <w:szCs w:val="26"/>
              </w:rPr>
            </w:pPr>
            <w:r w:rsidRPr="001768B2">
              <w:rPr>
                <w:rFonts w:ascii="Arial" w:hAnsi="Arial" w:cs="Arial"/>
                <w:sz w:val="26"/>
                <w:szCs w:val="26"/>
              </w:rPr>
              <w:t>Ampliamento dei controlli preventivi</w:t>
            </w:r>
            <w:r w:rsidR="001768B2" w:rsidRPr="001768B2">
              <w:rPr>
                <w:rFonts w:ascii="Arial" w:hAnsi="Arial" w:cs="Arial"/>
                <w:sz w:val="26"/>
                <w:szCs w:val="26"/>
              </w:rPr>
              <w:t xml:space="preserve"> non generalizzati ma </w:t>
            </w:r>
            <w:r w:rsidR="001768B2" w:rsidRPr="00ED1849">
              <w:rPr>
                <w:rFonts w:ascii="Arial" w:hAnsi="Arial" w:cs="Arial"/>
                <w:i/>
                <w:sz w:val="26"/>
                <w:szCs w:val="26"/>
              </w:rPr>
              <w:t>on demand</w:t>
            </w:r>
            <w:r w:rsidR="006A0B96">
              <w:rPr>
                <w:rFonts w:ascii="Arial" w:hAnsi="Arial" w:cs="Arial"/>
                <w:sz w:val="26"/>
                <w:szCs w:val="26"/>
              </w:rPr>
              <w:t xml:space="preserve"> su casi specifici,</w:t>
            </w:r>
            <w:r w:rsidRPr="001768B2">
              <w:rPr>
                <w:rFonts w:ascii="Arial" w:hAnsi="Arial" w:cs="Arial"/>
                <w:sz w:val="26"/>
                <w:szCs w:val="26"/>
              </w:rPr>
              <w:t xml:space="preserve"> con valenza </w:t>
            </w:r>
            <w:r w:rsidR="00DA5276" w:rsidRPr="001768B2">
              <w:rPr>
                <w:rFonts w:ascii="Arial" w:hAnsi="Arial" w:cs="Arial"/>
                <w:sz w:val="26"/>
                <w:szCs w:val="26"/>
              </w:rPr>
              <w:t xml:space="preserve">di esonero </w:t>
            </w:r>
            <w:r w:rsidRPr="001768B2">
              <w:rPr>
                <w:rFonts w:ascii="Arial" w:hAnsi="Arial" w:cs="Arial"/>
                <w:sz w:val="26"/>
                <w:szCs w:val="26"/>
              </w:rPr>
              <w:t>della colpa grave</w:t>
            </w:r>
            <w:r w:rsidR="00AC0862" w:rsidRPr="001768B2">
              <w:rPr>
                <w:rFonts w:ascii="Arial" w:hAnsi="Arial" w:cs="Arial"/>
                <w:sz w:val="26"/>
                <w:szCs w:val="26"/>
              </w:rPr>
              <w:t xml:space="preserve">. </w:t>
            </w:r>
          </w:p>
          <w:p w14:paraId="789BD397" w14:textId="3C2CA749" w:rsidR="006A0B96" w:rsidRPr="001768B2" w:rsidRDefault="006A0B96" w:rsidP="00BE4A37">
            <w:pPr>
              <w:jc w:val="both"/>
              <w:rPr>
                <w:rFonts w:ascii="Arial" w:hAnsi="Arial" w:cs="Arial"/>
                <w:sz w:val="26"/>
                <w:szCs w:val="26"/>
              </w:rPr>
            </w:pPr>
            <w:r>
              <w:rPr>
                <w:rFonts w:ascii="Arial" w:hAnsi="Arial" w:cs="Arial"/>
                <w:sz w:val="26"/>
                <w:szCs w:val="26"/>
              </w:rPr>
              <w:t>Oggi giudicati inammissibili molto spesso</w:t>
            </w:r>
            <w:r w:rsidR="006D5B59">
              <w:rPr>
                <w:rFonts w:ascii="Arial" w:hAnsi="Arial" w:cs="Arial"/>
                <w:sz w:val="26"/>
                <w:szCs w:val="26"/>
              </w:rPr>
              <w:t>.</w:t>
            </w:r>
          </w:p>
          <w:p w14:paraId="10C13376" w14:textId="61951C5F" w:rsidR="005E6FBB" w:rsidRPr="001768B2" w:rsidRDefault="00AC0862" w:rsidP="00BE4A37">
            <w:pPr>
              <w:jc w:val="both"/>
              <w:rPr>
                <w:rFonts w:ascii="Arial" w:hAnsi="Arial" w:cs="Arial"/>
                <w:sz w:val="26"/>
                <w:szCs w:val="26"/>
              </w:rPr>
            </w:pPr>
            <w:r w:rsidRPr="001768B2">
              <w:rPr>
                <w:rFonts w:ascii="Arial" w:hAnsi="Arial" w:cs="Arial"/>
                <w:sz w:val="26"/>
                <w:szCs w:val="26"/>
              </w:rPr>
              <w:t>Selezione de</w:t>
            </w:r>
            <w:r w:rsidR="006A0B96">
              <w:rPr>
                <w:rFonts w:ascii="Arial" w:hAnsi="Arial" w:cs="Arial"/>
                <w:sz w:val="26"/>
                <w:szCs w:val="26"/>
              </w:rPr>
              <w:t xml:space="preserve">i </w:t>
            </w:r>
            <w:proofErr w:type="spellStart"/>
            <w:r w:rsidR="006A0B96" w:rsidRPr="006A0B96">
              <w:rPr>
                <w:rFonts w:ascii="Arial" w:hAnsi="Arial" w:cs="Arial"/>
                <w:b/>
                <w:sz w:val="26"/>
                <w:szCs w:val="26"/>
              </w:rPr>
              <w:t>macrotemi</w:t>
            </w:r>
            <w:proofErr w:type="spellEnd"/>
            <w:r w:rsidRPr="001768B2">
              <w:rPr>
                <w:rFonts w:ascii="Arial" w:hAnsi="Arial" w:cs="Arial"/>
                <w:sz w:val="26"/>
                <w:szCs w:val="26"/>
              </w:rPr>
              <w:t xml:space="preserve"> da sottoporre al controllo preventivo</w:t>
            </w:r>
            <w:r w:rsidR="000228A3" w:rsidRPr="001768B2">
              <w:rPr>
                <w:rFonts w:ascii="Arial" w:hAnsi="Arial" w:cs="Arial"/>
                <w:sz w:val="26"/>
                <w:szCs w:val="26"/>
              </w:rPr>
              <w:t>, anche a livello regionale</w:t>
            </w:r>
            <w:r w:rsidR="006A0B96">
              <w:rPr>
                <w:rFonts w:ascii="Arial" w:hAnsi="Arial" w:cs="Arial"/>
                <w:sz w:val="26"/>
                <w:szCs w:val="26"/>
              </w:rPr>
              <w:t xml:space="preserve"> con individuazione dei legittimati attivi.</w:t>
            </w:r>
          </w:p>
        </w:tc>
      </w:tr>
      <w:tr w:rsidR="005E6FBB" w:rsidRPr="001768B2" w14:paraId="3AD79AA9" w14:textId="77777777" w:rsidTr="005E6FBB">
        <w:tc>
          <w:tcPr>
            <w:tcW w:w="4814" w:type="dxa"/>
          </w:tcPr>
          <w:p w14:paraId="29CB7E0A" w14:textId="4F13FED4" w:rsidR="00ED1849" w:rsidRDefault="006A0B96" w:rsidP="006A0B96">
            <w:pPr>
              <w:jc w:val="both"/>
              <w:rPr>
                <w:rFonts w:ascii="Arial" w:hAnsi="Arial" w:cs="Arial"/>
                <w:sz w:val="26"/>
                <w:szCs w:val="26"/>
              </w:rPr>
            </w:pPr>
            <w:r>
              <w:rPr>
                <w:rFonts w:ascii="Arial" w:hAnsi="Arial" w:cs="Arial"/>
                <w:sz w:val="26"/>
                <w:szCs w:val="26"/>
              </w:rPr>
              <w:t xml:space="preserve">Difficoltà di </w:t>
            </w:r>
            <w:r w:rsidRPr="00F4557D">
              <w:rPr>
                <w:rFonts w:ascii="Arial" w:hAnsi="Arial" w:cs="Arial"/>
                <w:b/>
                <w:sz w:val="26"/>
                <w:szCs w:val="26"/>
              </w:rPr>
              <w:t>definizione transattiva</w:t>
            </w:r>
            <w:r>
              <w:rPr>
                <w:rFonts w:ascii="Arial" w:hAnsi="Arial" w:cs="Arial"/>
                <w:sz w:val="26"/>
                <w:szCs w:val="26"/>
              </w:rPr>
              <w:t xml:space="preserve"> </w:t>
            </w:r>
            <w:r w:rsidR="00ED1849">
              <w:rPr>
                <w:rFonts w:ascii="Arial" w:hAnsi="Arial" w:cs="Arial"/>
                <w:sz w:val="26"/>
                <w:szCs w:val="26"/>
              </w:rPr>
              <w:t>controversie</w:t>
            </w:r>
            <w:r>
              <w:rPr>
                <w:rFonts w:ascii="Arial" w:hAnsi="Arial" w:cs="Arial"/>
                <w:sz w:val="26"/>
                <w:szCs w:val="26"/>
              </w:rPr>
              <w:t xml:space="preserve"> che vedono una</w:t>
            </w:r>
            <w:r w:rsidR="006D5B59">
              <w:rPr>
                <w:rFonts w:ascii="Arial" w:hAnsi="Arial" w:cs="Arial"/>
                <w:sz w:val="26"/>
                <w:szCs w:val="26"/>
              </w:rPr>
              <w:t xml:space="preserve"> delle parti</w:t>
            </w:r>
            <w:r>
              <w:rPr>
                <w:rFonts w:ascii="Arial" w:hAnsi="Arial" w:cs="Arial"/>
                <w:sz w:val="26"/>
                <w:szCs w:val="26"/>
              </w:rPr>
              <w:t xml:space="preserve"> </w:t>
            </w:r>
            <w:r w:rsidR="006D5B59">
              <w:rPr>
                <w:rFonts w:ascii="Arial" w:hAnsi="Arial" w:cs="Arial"/>
                <w:sz w:val="26"/>
                <w:szCs w:val="26"/>
              </w:rPr>
              <w:t>una P.A.</w:t>
            </w:r>
            <w:r>
              <w:rPr>
                <w:rFonts w:ascii="Arial" w:hAnsi="Arial" w:cs="Arial"/>
                <w:sz w:val="26"/>
                <w:szCs w:val="26"/>
              </w:rPr>
              <w:t xml:space="preserve"> </w:t>
            </w:r>
          </w:p>
          <w:p w14:paraId="50FB87D2" w14:textId="04E0B482" w:rsidR="00BE4A37" w:rsidRDefault="006A0B96" w:rsidP="006A0B96">
            <w:pPr>
              <w:jc w:val="both"/>
              <w:rPr>
                <w:rFonts w:ascii="Arial" w:hAnsi="Arial" w:cs="Arial"/>
                <w:sz w:val="26"/>
                <w:szCs w:val="26"/>
              </w:rPr>
            </w:pPr>
            <w:r>
              <w:rPr>
                <w:rFonts w:ascii="Arial" w:hAnsi="Arial" w:cs="Arial"/>
                <w:sz w:val="26"/>
                <w:szCs w:val="26"/>
              </w:rPr>
              <w:t xml:space="preserve">Spesso </w:t>
            </w:r>
            <w:r w:rsidR="006D5B59">
              <w:rPr>
                <w:rFonts w:ascii="Arial" w:hAnsi="Arial" w:cs="Arial"/>
                <w:sz w:val="26"/>
                <w:szCs w:val="26"/>
              </w:rPr>
              <w:t>vicende chiare non possono essere definite e transatte</w:t>
            </w:r>
            <w:r>
              <w:rPr>
                <w:rFonts w:ascii="Arial" w:hAnsi="Arial" w:cs="Arial"/>
                <w:sz w:val="26"/>
                <w:szCs w:val="26"/>
              </w:rPr>
              <w:t xml:space="preserve"> per paura </w:t>
            </w:r>
            <w:r w:rsidR="006D5B59">
              <w:rPr>
                <w:rFonts w:ascii="Arial" w:hAnsi="Arial" w:cs="Arial"/>
                <w:sz w:val="26"/>
                <w:szCs w:val="26"/>
              </w:rPr>
              <w:t xml:space="preserve">della firma, </w:t>
            </w:r>
            <w:r>
              <w:rPr>
                <w:rFonts w:ascii="Arial" w:hAnsi="Arial" w:cs="Arial"/>
                <w:sz w:val="26"/>
                <w:szCs w:val="26"/>
              </w:rPr>
              <w:t xml:space="preserve">anche se nell’interesse dell’Amministrazione. Con </w:t>
            </w:r>
            <w:r w:rsidR="006D5B59">
              <w:rPr>
                <w:rFonts w:ascii="Arial" w:hAnsi="Arial" w:cs="Arial"/>
                <w:sz w:val="26"/>
                <w:szCs w:val="26"/>
              </w:rPr>
              <w:t>A</w:t>
            </w:r>
            <w:r>
              <w:rPr>
                <w:rFonts w:ascii="Arial" w:hAnsi="Arial" w:cs="Arial"/>
                <w:sz w:val="26"/>
                <w:szCs w:val="26"/>
              </w:rPr>
              <w:t>vvocatura stato</w:t>
            </w:r>
            <w:r w:rsidR="006D5B59">
              <w:rPr>
                <w:rFonts w:ascii="Arial" w:hAnsi="Arial" w:cs="Arial"/>
                <w:sz w:val="26"/>
                <w:szCs w:val="26"/>
              </w:rPr>
              <w:t xml:space="preserve"> e avvocature regionali e degli enti</w:t>
            </w:r>
            <w:r>
              <w:rPr>
                <w:rFonts w:ascii="Arial" w:hAnsi="Arial" w:cs="Arial"/>
                <w:sz w:val="26"/>
                <w:szCs w:val="26"/>
              </w:rPr>
              <w:t xml:space="preserve"> sempre più contrari</w:t>
            </w:r>
            <w:r w:rsidR="006D5B59">
              <w:rPr>
                <w:rFonts w:ascii="Arial" w:hAnsi="Arial" w:cs="Arial"/>
                <w:sz w:val="26"/>
                <w:szCs w:val="26"/>
              </w:rPr>
              <w:t>e</w:t>
            </w:r>
            <w:r>
              <w:rPr>
                <w:rFonts w:ascii="Arial" w:hAnsi="Arial" w:cs="Arial"/>
                <w:sz w:val="26"/>
                <w:szCs w:val="26"/>
              </w:rPr>
              <w:t xml:space="preserve"> a </w:t>
            </w:r>
            <w:r w:rsidR="006D5B59">
              <w:rPr>
                <w:rFonts w:ascii="Arial" w:hAnsi="Arial" w:cs="Arial"/>
                <w:sz w:val="26"/>
                <w:szCs w:val="26"/>
              </w:rPr>
              <w:t>loro</w:t>
            </w:r>
            <w:r>
              <w:rPr>
                <w:rFonts w:ascii="Arial" w:hAnsi="Arial" w:cs="Arial"/>
                <w:sz w:val="26"/>
                <w:szCs w:val="26"/>
              </w:rPr>
              <w:t xml:space="preserve"> volta per paura della firma.</w:t>
            </w:r>
          </w:p>
          <w:p w14:paraId="162954C8" w14:textId="77777777" w:rsidR="006A0B96" w:rsidRDefault="006A0B96" w:rsidP="006A0B96">
            <w:pPr>
              <w:jc w:val="both"/>
              <w:rPr>
                <w:rFonts w:ascii="Arial" w:hAnsi="Arial" w:cs="Arial"/>
                <w:sz w:val="26"/>
                <w:szCs w:val="26"/>
              </w:rPr>
            </w:pPr>
            <w:r>
              <w:rPr>
                <w:rFonts w:ascii="Arial" w:hAnsi="Arial" w:cs="Arial"/>
                <w:sz w:val="26"/>
                <w:szCs w:val="26"/>
              </w:rPr>
              <w:t>Non solo per vicende di natura patrimoniale.</w:t>
            </w:r>
          </w:p>
          <w:p w14:paraId="0CF67DB5" w14:textId="075DB6F0" w:rsidR="006A0B96" w:rsidRDefault="006A0B96" w:rsidP="006A0B96">
            <w:pPr>
              <w:jc w:val="both"/>
              <w:rPr>
                <w:rFonts w:ascii="Arial" w:hAnsi="Arial" w:cs="Arial"/>
                <w:sz w:val="26"/>
                <w:szCs w:val="26"/>
              </w:rPr>
            </w:pPr>
            <w:r>
              <w:rPr>
                <w:rFonts w:ascii="Arial" w:hAnsi="Arial" w:cs="Arial"/>
                <w:sz w:val="26"/>
                <w:szCs w:val="26"/>
              </w:rPr>
              <w:t>Il tutt</w:t>
            </w:r>
            <w:r w:rsidR="00ED1849">
              <w:rPr>
                <w:rFonts w:ascii="Arial" w:hAnsi="Arial" w:cs="Arial"/>
                <w:sz w:val="26"/>
                <w:szCs w:val="26"/>
              </w:rPr>
              <w:t>o</w:t>
            </w:r>
            <w:r>
              <w:rPr>
                <w:rFonts w:ascii="Arial" w:hAnsi="Arial" w:cs="Arial"/>
                <w:sz w:val="26"/>
                <w:szCs w:val="26"/>
              </w:rPr>
              <w:t xml:space="preserve"> ingessando e impedendo soluzione problemi</w:t>
            </w:r>
            <w:r w:rsidR="006D5B59">
              <w:rPr>
                <w:rFonts w:ascii="Arial" w:hAnsi="Arial" w:cs="Arial"/>
                <w:sz w:val="26"/>
                <w:szCs w:val="26"/>
              </w:rPr>
              <w:t xml:space="preserve"> per anni</w:t>
            </w:r>
            <w:r>
              <w:rPr>
                <w:rFonts w:ascii="Arial" w:hAnsi="Arial" w:cs="Arial"/>
                <w:sz w:val="26"/>
                <w:szCs w:val="26"/>
              </w:rPr>
              <w:t>.</w:t>
            </w:r>
          </w:p>
          <w:p w14:paraId="60494E6E" w14:textId="22A5F823" w:rsidR="00F4557D" w:rsidRPr="001768B2" w:rsidRDefault="00F4557D" w:rsidP="006A0B96">
            <w:pPr>
              <w:jc w:val="both"/>
              <w:rPr>
                <w:rFonts w:ascii="Arial" w:hAnsi="Arial" w:cs="Arial"/>
                <w:sz w:val="26"/>
                <w:szCs w:val="26"/>
              </w:rPr>
            </w:pPr>
            <w:r>
              <w:rPr>
                <w:rFonts w:ascii="Arial" w:hAnsi="Arial" w:cs="Arial"/>
                <w:sz w:val="26"/>
                <w:szCs w:val="26"/>
              </w:rPr>
              <w:t>L’assenza della Corte</w:t>
            </w:r>
            <w:r w:rsidR="00ED1849">
              <w:rPr>
                <w:rFonts w:ascii="Arial" w:hAnsi="Arial" w:cs="Arial"/>
                <w:sz w:val="26"/>
                <w:szCs w:val="26"/>
              </w:rPr>
              <w:t>, nella norma,</w:t>
            </w:r>
            <w:r>
              <w:rPr>
                <w:rFonts w:ascii="Arial" w:hAnsi="Arial" w:cs="Arial"/>
                <w:sz w:val="26"/>
                <w:szCs w:val="26"/>
              </w:rPr>
              <w:t xml:space="preserve"> e del</w:t>
            </w:r>
            <w:r w:rsidR="00ED1849">
              <w:rPr>
                <w:rFonts w:ascii="Arial" w:hAnsi="Arial" w:cs="Arial"/>
                <w:sz w:val="26"/>
                <w:szCs w:val="26"/>
              </w:rPr>
              <w:t xml:space="preserve"> suo</w:t>
            </w:r>
            <w:r>
              <w:rPr>
                <w:rFonts w:ascii="Arial" w:hAnsi="Arial" w:cs="Arial"/>
                <w:sz w:val="26"/>
                <w:szCs w:val="26"/>
              </w:rPr>
              <w:t xml:space="preserve"> ruolo</w:t>
            </w:r>
            <w:r w:rsidR="006D5B59">
              <w:rPr>
                <w:rFonts w:ascii="Arial" w:hAnsi="Arial" w:cs="Arial"/>
                <w:sz w:val="26"/>
                <w:szCs w:val="26"/>
              </w:rPr>
              <w:t>,</w:t>
            </w:r>
            <w:r>
              <w:rPr>
                <w:rFonts w:ascii="Arial" w:hAnsi="Arial" w:cs="Arial"/>
                <w:sz w:val="26"/>
                <w:szCs w:val="26"/>
              </w:rPr>
              <w:t xml:space="preserve"> non</w:t>
            </w:r>
            <w:r w:rsidR="006D5B59">
              <w:rPr>
                <w:rFonts w:ascii="Arial" w:hAnsi="Arial" w:cs="Arial"/>
                <w:sz w:val="26"/>
                <w:szCs w:val="26"/>
              </w:rPr>
              <w:t xml:space="preserve"> consentirà di</w:t>
            </w:r>
            <w:r>
              <w:rPr>
                <w:rFonts w:ascii="Arial" w:hAnsi="Arial" w:cs="Arial"/>
                <w:sz w:val="26"/>
                <w:szCs w:val="26"/>
              </w:rPr>
              <w:t xml:space="preserve"> risolver</w:t>
            </w:r>
            <w:r w:rsidR="006D5B59">
              <w:rPr>
                <w:rFonts w:ascii="Arial" w:hAnsi="Arial" w:cs="Arial"/>
                <w:sz w:val="26"/>
                <w:szCs w:val="26"/>
              </w:rPr>
              <w:t>e</w:t>
            </w:r>
            <w:r>
              <w:rPr>
                <w:rFonts w:ascii="Arial" w:hAnsi="Arial" w:cs="Arial"/>
                <w:sz w:val="26"/>
                <w:szCs w:val="26"/>
              </w:rPr>
              <w:t xml:space="preserve"> </w:t>
            </w:r>
            <w:proofErr w:type="spellStart"/>
            <w:r>
              <w:rPr>
                <w:rFonts w:ascii="Arial" w:hAnsi="Arial" w:cs="Arial"/>
                <w:sz w:val="26"/>
                <w:szCs w:val="26"/>
              </w:rPr>
              <w:t>alcunchè</w:t>
            </w:r>
            <w:proofErr w:type="spellEnd"/>
            <w:r>
              <w:rPr>
                <w:rFonts w:ascii="Arial" w:hAnsi="Arial" w:cs="Arial"/>
                <w:sz w:val="26"/>
                <w:szCs w:val="26"/>
              </w:rPr>
              <w:t>.</w:t>
            </w:r>
          </w:p>
        </w:tc>
        <w:tc>
          <w:tcPr>
            <w:tcW w:w="4814" w:type="dxa"/>
          </w:tcPr>
          <w:p w14:paraId="577402CC" w14:textId="67652D26" w:rsidR="005E6FBB" w:rsidRPr="001768B2" w:rsidRDefault="006D4B86" w:rsidP="001768B2">
            <w:pPr>
              <w:jc w:val="both"/>
              <w:rPr>
                <w:rFonts w:ascii="Arial" w:hAnsi="Arial" w:cs="Arial"/>
                <w:sz w:val="26"/>
                <w:szCs w:val="26"/>
              </w:rPr>
            </w:pPr>
            <w:r w:rsidRPr="00F4557D">
              <w:rPr>
                <w:rFonts w:ascii="Arial" w:hAnsi="Arial" w:cs="Arial"/>
                <w:sz w:val="26"/>
                <w:szCs w:val="26"/>
              </w:rPr>
              <w:t>Ampliamento della funzione consultiva</w:t>
            </w:r>
            <w:r w:rsidR="00AC0862" w:rsidRPr="00F4557D">
              <w:rPr>
                <w:rFonts w:ascii="Arial" w:hAnsi="Arial" w:cs="Arial"/>
                <w:sz w:val="26"/>
                <w:szCs w:val="26"/>
              </w:rPr>
              <w:t xml:space="preserve"> e sua effettività</w:t>
            </w:r>
            <w:r w:rsidR="00AC0862" w:rsidRPr="001768B2">
              <w:rPr>
                <w:rFonts w:ascii="Arial" w:hAnsi="Arial" w:cs="Arial"/>
                <w:sz w:val="26"/>
                <w:szCs w:val="26"/>
              </w:rPr>
              <w:t xml:space="preserve"> (</w:t>
            </w:r>
            <w:r w:rsidR="00CC42E4" w:rsidRPr="001768B2">
              <w:rPr>
                <w:rFonts w:ascii="Arial" w:hAnsi="Arial" w:cs="Arial"/>
                <w:sz w:val="26"/>
                <w:szCs w:val="26"/>
              </w:rPr>
              <w:t xml:space="preserve">espressione obbligatoria di parere </w:t>
            </w:r>
            <w:r w:rsidR="00AC0862" w:rsidRPr="001768B2">
              <w:rPr>
                <w:rFonts w:ascii="Arial" w:hAnsi="Arial" w:cs="Arial"/>
                <w:sz w:val="26"/>
                <w:szCs w:val="26"/>
              </w:rPr>
              <w:t>con salvezza d</w:t>
            </w:r>
            <w:r w:rsidR="00E51B06" w:rsidRPr="001768B2">
              <w:rPr>
                <w:rFonts w:ascii="Arial" w:hAnsi="Arial" w:cs="Arial"/>
                <w:sz w:val="26"/>
                <w:szCs w:val="26"/>
              </w:rPr>
              <w:t xml:space="preserve">ella </w:t>
            </w:r>
            <w:r w:rsidR="00AC0862" w:rsidRPr="001768B2">
              <w:rPr>
                <w:rFonts w:ascii="Arial" w:hAnsi="Arial" w:cs="Arial"/>
                <w:sz w:val="26"/>
                <w:szCs w:val="26"/>
              </w:rPr>
              <w:t>competenza</w:t>
            </w:r>
            <w:r w:rsidR="00E51B06" w:rsidRPr="001768B2">
              <w:rPr>
                <w:rFonts w:ascii="Arial" w:hAnsi="Arial" w:cs="Arial"/>
                <w:sz w:val="26"/>
                <w:szCs w:val="26"/>
              </w:rPr>
              <w:t xml:space="preserve"> di ogni altro soggetto</w:t>
            </w:r>
            <w:r w:rsidR="00AC0862" w:rsidRPr="001768B2">
              <w:rPr>
                <w:rFonts w:ascii="Arial" w:hAnsi="Arial" w:cs="Arial"/>
                <w:sz w:val="26"/>
                <w:szCs w:val="26"/>
              </w:rPr>
              <w:t>).</w:t>
            </w:r>
            <w:r w:rsidR="006A0B96">
              <w:rPr>
                <w:rFonts w:ascii="Arial" w:hAnsi="Arial" w:cs="Arial"/>
                <w:sz w:val="26"/>
                <w:szCs w:val="26"/>
              </w:rPr>
              <w:t xml:space="preserve"> Anche sul tema transazioni</w:t>
            </w:r>
            <w:r w:rsidR="00ED1849">
              <w:rPr>
                <w:rFonts w:ascii="Arial" w:hAnsi="Arial" w:cs="Arial"/>
                <w:sz w:val="26"/>
                <w:szCs w:val="26"/>
              </w:rPr>
              <w:t xml:space="preserve"> </w:t>
            </w:r>
            <w:r w:rsidR="006D5B59">
              <w:rPr>
                <w:rFonts w:ascii="Arial" w:hAnsi="Arial" w:cs="Arial"/>
                <w:sz w:val="26"/>
                <w:szCs w:val="26"/>
              </w:rPr>
              <w:t xml:space="preserve">occorre </w:t>
            </w:r>
            <w:r w:rsidR="00ED1849">
              <w:rPr>
                <w:rFonts w:ascii="Arial" w:hAnsi="Arial" w:cs="Arial"/>
                <w:sz w:val="26"/>
                <w:szCs w:val="26"/>
              </w:rPr>
              <w:t xml:space="preserve">prevedere </w:t>
            </w:r>
            <w:r w:rsidR="006D5B59">
              <w:rPr>
                <w:rFonts w:ascii="Arial" w:hAnsi="Arial" w:cs="Arial"/>
                <w:sz w:val="26"/>
                <w:szCs w:val="26"/>
              </w:rPr>
              <w:t xml:space="preserve">il </w:t>
            </w:r>
            <w:r w:rsidR="00ED1849">
              <w:rPr>
                <w:rFonts w:ascii="Arial" w:hAnsi="Arial" w:cs="Arial"/>
                <w:sz w:val="26"/>
                <w:szCs w:val="26"/>
              </w:rPr>
              <w:t>parere</w:t>
            </w:r>
            <w:r w:rsidR="006D5B59">
              <w:rPr>
                <w:rFonts w:ascii="Arial" w:hAnsi="Arial" w:cs="Arial"/>
                <w:sz w:val="26"/>
                <w:szCs w:val="26"/>
              </w:rPr>
              <w:t xml:space="preserve"> della Corte</w:t>
            </w:r>
            <w:r w:rsidR="006A0B96">
              <w:rPr>
                <w:rFonts w:ascii="Arial" w:hAnsi="Arial" w:cs="Arial"/>
                <w:sz w:val="26"/>
                <w:szCs w:val="26"/>
              </w:rPr>
              <w:t xml:space="preserve"> ed anche prima del giudizio</w:t>
            </w:r>
            <w:r w:rsidR="006D5B59">
              <w:rPr>
                <w:rFonts w:ascii="Arial" w:hAnsi="Arial" w:cs="Arial"/>
                <w:sz w:val="26"/>
                <w:szCs w:val="26"/>
              </w:rPr>
              <w:t>. Parere che abbia</w:t>
            </w:r>
            <w:r w:rsidR="006A0B96">
              <w:rPr>
                <w:rFonts w:ascii="Arial" w:hAnsi="Arial" w:cs="Arial"/>
                <w:sz w:val="26"/>
                <w:szCs w:val="26"/>
              </w:rPr>
              <w:t xml:space="preserve"> sempre una valenza di scudo</w:t>
            </w:r>
            <w:r w:rsidR="00ED1849">
              <w:rPr>
                <w:rFonts w:ascii="Arial" w:hAnsi="Arial" w:cs="Arial"/>
                <w:sz w:val="26"/>
                <w:szCs w:val="26"/>
              </w:rPr>
              <w:t xml:space="preserve"> e di esonero dalla responsabilità quando è positivo</w:t>
            </w:r>
            <w:r w:rsidR="006A0B96">
              <w:rPr>
                <w:rFonts w:ascii="Arial" w:hAnsi="Arial" w:cs="Arial"/>
                <w:sz w:val="26"/>
                <w:szCs w:val="26"/>
              </w:rPr>
              <w:t>.</w:t>
            </w:r>
          </w:p>
          <w:p w14:paraId="02B1B08A" w14:textId="64672B7D" w:rsidR="00AC0862" w:rsidRPr="001768B2" w:rsidRDefault="00AC0862" w:rsidP="001768B2">
            <w:pPr>
              <w:jc w:val="both"/>
              <w:rPr>
                <w:rFonts w:ascii="Arial" w:hAnsi="Arial" w:cs="Arial"/>
                <w:sz w:val="26"/>
                <w:szCs w:val="26"/>
              </w:rPr>
            </w:pPr>
            <w:r w:rsidRPr="001768B2">
              <w:rPr>
                <w:rFonts w:ascii="Arial" w:hAnsi="Arial" w:cs="Arial"/>
                <w:sz w:val="26"/>
                <w:szCs w:val="26"/>
              </w:rPr>
              <w:t>Affidamento dell’interpretazione di norme statali ad un</w:t>
            </w:r>
            <w:r w:rsidR="00E51B06" w:rsidRPr="001768B2">
              <w:rPr>
                <w:rFonts w:ascii="Arial" w:hAnsi="Arial" w:cs="Arial"/>
                <w:sz w:val="26"/>
                <w:szCs w:val="26"/>
              </w:rPr>
              <w:t>’unica</w:t>
            </w:r>
            <w:r w:rsidRPr="001768B2">
              <w:rPr>
                <w:rFonts w:ascii="Arial" w:hAnsi="Arial" w:cs="Arial"/>
                <w:sz w:val="26"/>
                <w:szCs w:val="26"/>
              </w:rPr>
              <w:t xml:space="preserve"> Sezione centrale</w:t>
            </w:r>
            <w:r w:rsidR="00E51B06" w:rsidRPr="001768B2">
              <w:rPr>
                <w:rFonts w:ascii="Arial" w:hAnsi="Arial" w:cs="Arial"/>
                <w:sz w:val="26"/>
                <w:szCs w:val="26"/>
              </w:rPr>
              <w:t xml:space="preserve"> </w:t>
            </w:r>
            <w:r w:rsidR="008733F2" w:rsidRPr="001768B2">
              <w:rPr>
                <w:rFonts w:ascii="Arial" w:hAnsi="Arial" w:cs="Arial"/>
                <w:sz w:val="26"/>
                <w:szCs w:val="26"/>
              </w:rPr>
              <w:t xml:space="preserve">consultiva </w:t>
            </w:r>
            <w:r w:rsidR="00E51B06" w:rsidRPr="001768B2">
              <w:rPr>
                <w:rFonts w:ascii="Arial" w:hAnsi="Arial" w:cs="Arial"/>
                <w:sz w:val="26"/>
                <w:szCs w:val="26"/>
              </w:rPr>
              <w:t>(come in Consiglio di Stato)</w:t>
            </w:r>
            <w:r w:rsidRPr="001768B2">
              <w:rPr>
                <w:rFonts w:ascii="Arial" w:hAnsi="Arial" w:cs="Arial"/>
                <w:sz w:val="26"/>
                <w:szCs w:val="26"/>
              </w:rPr>
              <w:t>.</w:t>
            </w:r>
          </w:p>
          <w:p w14:paraId="7752B430" w14:textId="4B497BE7" w:rsidR="00AC0862" w:rsidRPr="001768B2" w:rsidRDefault="00AC0862" w:rsidP="001768B2">
            <w:pPr>
              <w:jc w:val="both"/>
              <w:rPr>
                <w:rFonts w:ascii="Arial" w:hAnsi="Arial" w:cs="Arial"/>
                <w:sz w:val="26"/>
                <w:szCs w:val="26"/>
              </w:rPr>
            </w:pPr>
            <w:r w:rsidRPr="001768B2">
              <w:rPr>
                <w:rFonts w:ascii="Arial" w:hAnsi="Arial" w:cs="Arial"/>
                <w:sz w:val="26"/>
                <w:szCs w:val="26"/>
              </w:rPr>
              <w:t>Interpretazione di norme regionali</w:t>
            </w:r>
            <w:r w:rsidR="00E51B06" w:rsidRPr="001768B2">
              <w:rPr>
                <w:rFonts w:ascii="Arial" w:hAnsi="Arial" w:cs="Arial"/>
                <w:sz w:val="26"/>
                <w:szCs w:val="26"/>
              </w:rPr>
              <w:t xml:space="preserve"> e di applicazioni concrete alle Sezioni regionali.</w:t>
            </w:r>
          </w:p>
        </w:tc>
      </w:tr>
      <w:tr w:rsidR="005E6FBB" w:rsidRPr="001768B2" w14:paraId="47C678F9" w14:textId="77777777" w:rsidTr="005E6FBB">
        <w:tc>
          <w:tcPr>
            <w:tcW w:w="4814" w:type="dxa"/>
          </w:tcPr>
          <w:p w14:paraId="41934C91" w14:textId="77777777" w:rsidR="006A0B96" w:rsidRPr="00E116FC" w:rsidRDefault="006A0B96" w:rsidP="006A0B96">
            <w:pPr>
              <w:jc w:val="both"/>
              <w:rPr>
                <w:rFonts w:ascii="Arial" w:hAnsi="Arial" w:cs="Arial"/>
                <w:b/>
                <w:sz w:val="26"/>
                <w:szCs w:val="26"/>
              </w:rPr>
            </w:pPr>
            <w:r w:rsidRPr="00E116FC">
              <w:rPr>
                <w:rFonts w:ascii="Arial" w:hAnsi="Arial" w:cs="Arial"/>
                <w:b/>
                <w:sz w:val="26"/>
                <w:szCs w:val="26"/>
              </w:rPr>
              <w:lastRenderedPageBreak/>
              <w:t>La maggioranza delle citazioni si conclude con l’assoluzione.</w:t>
            </w:r>
          </w:p>
          <w:p w14:paraId="5C2BDD0F" w14:textId="05165AEB" w:rsidR="00BE4A37" w:rsidRPr="001768B2" w:rsidRDefault="006D5B59" w:rsidP="00BE4A37">
            <w:pPr>
              <w:shd w:val="clear" w:color="auto" w:fill="FFFFFF"/>
              <w:jc w:val="both"/>
              <w:rPr>
                <w:rFonts w:ascii="Arial" w:hAnsi="Arial" w:cs="Arial"/>
                <w:color w:val="000000"/>
                <w:sz w:val="26"/>
                <w:szCs w:val="26"/>
              </w:rPr>
            </w:pPr>
            <w:r>
              <w:rPr>
                <w:rFonts w:ascii="Arial" w:hAnsi="Arial" w:cs="Arial"/>
                <w:color w:val="000000"/>
                <w:sz w:val="26"/>
                <w:szCs w:val="26"/>
              </w:rPr>
              <w:t xml:space="preserve">Le </w:t>
            </w:r>
            <w:proofErr w:type="spellStart"/>
            <w:r w:rsidR="00BE4A37" w:rsidRPr="001768B2">
              <w:rPr>
                <w:rFonts w:ascii="Arial" w:hAnsi="Arial" w:cs="Arial"/>
                <w:color w:val="000000"/>
                <w:sz w:val="26"/>
                <w:szCs w:val="26"/>
              </w:rPr>
              <w:t>rocure</w:t>
            </w:r>
            <w:proofErr w:type="spellEnd"/>
            <w:r w:rsidR="00BE4A37" w:rsidRPr="001768B2">
              <w:rPr>
                <w:rFonts w:ascii="Arial" w:hAnsi="Arial" w:cs="Arial"/>
                <w:color w:val="000000"/>
                <w:sz w:val="26"/>
                <w:szCs w:val="26"/>
              </w:rPr>
              <w:t xml:space="preserve"> erariali territoriali spesso approcciano funzionari pubblici come le procure penali, determinando “paura della firma”: 50% di azioni responsabilità avviate senza fondamento, compromettendo irrimediabilmente - complici malevoli rapporti con il sistema dei media - la carriera di tanti, troppi professionisti della p.a. di contro non riescono ad intercettare in tempo le condotte che arrecano danno all'erario (appalti, corruzione </w:t>
            </w:r>
            <w:proofErr w:type="spellStart"/>
            <w:r w:rsidR="00BE4A37" w:rsidRPr="001768B2">
              <w:rPr>
                <w:rFonts w:ascii="Arial" w:hAnsi="Arial" w:cs="Arial"/>
                <w:color w:val="000000"/>
                <w:sz w:val="26"/>
                <w:szCs w:val="26"/>
              </w:rPr>
              <w:t>etc</w:t>
            </w:r>
            <w:proofErr w:type="spellEnd"/>
            <w:r w:rsidR="00BE4A37" w:rsidRPr="001768B2">
              <w:rPr>
                <w:rFonts w:ascii="Arial" w:hAnsi="Arial" w:cs="Arial"/>
                <w:color w:val="000000"/>
                <w:sz w:val="26"/>
                <w:szCs w:val="26"/>
              </w:rPr>
              <w:t>).</w:t>
            </w:r>
          </w:p>
          <w:p w14:paraId="7E521FF4" w14:textId="3F2D05C8" w:rsidR="00BE4A37" w:rsidRPr="001768B2" w:rsidRDefault="00BE4A37" w:rsidP="005E6FBB">
            <w:pPr>
              <w:rPr>
                <w:rFonts w:ascii="Arial" w:hAnsi="Arial" w:cs="Arial"/>
                <w:sz w:val="26"/>
                <w:szCs w:val="26"/>
              </w:rPr>
            </w:pPr>
          </w:p>
        </w:tc>
        <w:tc>
          <w:tcPr>
            <w:tcW w:w="4814" w:type="dxa"/>
          </w:tcPr>
          <w:p w14:paraId="7E06F5B7" w14:textId="384A3A03" w:rsidR="00C3471D" w:rsidRPr="001768B2" w:rsidRDefault="00C3471D" w:rsidP="006A0B96">
            <w:pPr>
              <w:jc w:val="both"/>
              <w:rPr>
                <w:rFonts w:ascii="Arial" w:hAnsi="Arial" w:cs="Arial"/>
                <w:sz w:val="26"/>
                <w:szCs w:val="26"/>
              </w:rPr>
            </w:pPr>
            <w:r w:rsidRPr="001768B2">
              <w:rPr>
                <w:rFonts w:ascii="Arial" w:hAnsi="Arial" w:cs="Arial"/>
                <w:sz w:val="26"/>
                <w:szCs w:val="26"/>
              </w:rPr>
              <w:t>Modifica d</w:t>
            </w:r>
            <w:r w:rsidR="00CC42E4" w:rsidRPr="001768B2">
              <w:rPr>
                <w:rFonts w:ascii="Arial" w:hAnsi="Arial" w:cs="Arial"/>
                <w:sz w:val="26"/>
                <w:szCs w:val="26"/>
              </w:rPr>
              <w:t>i sistema da</w:t>
            </w:r>
            <w:r w:rsidRPr="001768B2">
              <w:rPr>
                <w:rFonts w:ascii="Arial" w:hAnsi="Arial" w:cs="Arial"/>
                <w:sz w:val="26"/>
                <w:szCs w:val="26"/>
              </w:rPr>
              <w:t xml:space="preserve"> citazioni a richiesta di rinvio a giudizio.</w:t>
            </w:r>
          </w:p>
          <w:p w14:paraId="0F412B3B" w14:textId="77777777" w:rsidR="00ED1849" w:rsidRDefault="00ED1849" w:rsidP="006A0B96">
            <w:pPr>
              <w:jc w:val="both"/>
              <w:rPr>
                <w:rFonts w:ascii="Arial" w:hAnsi="Arial" w:cs="Arial"/>
                <w:sz w:val="26"/>
                <w:szCs w:val="26"/>
              </w:rPr>
            </w:pPr>
          </w:p>
          <w:p w14:paraId="2FA0D2DF" w14:textId="491D9746" w:rsidR="005E6FBB" w:rsidRPr="001768B2" w:rsidRDefault="00C3471D" w:rsidP="006A0B96">
            <w:pPr>
              <w:jc w:val="both"/>
              <w:rPr>
                <w:rFonts w:ascii="Arial" w:hAnsi="Arial" w:cs="Arial"/>
                <w:sz w:val="26"/>
                <w:szCs w:val="26"/>
              </w:rPr>
            </w:pPr>
            <w:r w:rsidRPr="001768B2">
              <w:rPr>
                <w:rFonts w:ascii="Arial" w:hAnsi="Arial" w:cs="Arial"/>
                <w:sz w:val="26"/>
                <w:szCs w:val="26"/>
              </w:rPr>
              <w:t xml:space="preserve">Istituzione del </w:t>
            </w:r>
            <w:r w:rsidR="00BA44FB" w:rsidRPr="006A0B96">
              <w:rPr>
                <w:rFonts w:ascii="Arial" w:hAnsi="Arial" w:cs="Arial"/>
                <w:b/>
                <w:sz w:val="26"/>
                <w:szCs w:val="26"/>
              </w:rPr>
              <w:t>Giudice dell’udienza preliminare</w:t>
            </w:r>
            <w:r w:rsidR="00BA44FB" w:rsidRPr="001768B2">
              <w:rPr>
                <w:rFonts w:ascii="Arial" w:hAnsi="Arial" w:cs="Arial"/>
                <w:sz w:val="26"/>
                <w:szCs w:val="26"/>
              </w:rPr>
              <w:t xml:space="preserve"> che filtri le richieste di rinvio a giudizio (e non più citazioni)</w:t>
            </w:r>
            <w:r w:rsidR="001768B2">
              <w:rPr>
                <w:rFonts w:ascii="Arial" w:hAnsi="Arial" w:cs="Arial"/>
                <w:sz w:val="26"/>
                <w:szCs w:val="26"/>
              </w:rPr>
              <w:t>.</w:t>
            </w:r>
          </w:p>
        </w:tc>
      </w:tr>
      <w:tr w:rsidR="00C3471D" w:rsidRPr="001768B2" w14:paraId="280B50EA" w14:textId="77777777" w:rsidTr="005E6FBB">
        <w:tc>
          <w:tcPr>
            <w:tcW w:w="4814" w:type="dxa"/>
          </w:tcPr>
          <w:p w14:paraId="4EA0AE06" w14:textId="3F77E9AC" w:rsidR="00C3471D" w:rsidRPr="001768B2" w:rsidRDefault="00C3471D" w:rsidP="005E6FBB">
            <w:pPr>
              <w:rPr>
                <w:rFonts w:ascii="Arial" w:hAnsi="Arial" w:cs="Arial"/>
                <w:sz w:val="26"/>
                <w:szCs w:val="26"/>
              </w:rPr>
            </w:pPr>
            <w:r w:rsidRPr="001768B2">
              <w:rPr>
                <w:rFonts w:ascii="Arial" w:hAnsi="Arial" w:cs="Arial"/>
                <w:sz w:val="26"/>
                <w:szCs w:val="26"/>
              </w:rPr>
              <w:t>L’archiviazione del PM non ha valore di giudicato</w:t>
            </w:r>
            <w:r w:rsidR="006D5B59">
              <w:rPr>
                <w:rFonts w:ascii="Arial" w:hAnsi="Arial" w:cs="Arial"/>
                <w:sz w:val="26"/>
                <w:szCs w:val="26"/>
              </w:rPr>
              <w:t>.</w:t>
            </w:r>
          </w:p>
        </w:tc>
        <w:tc>
          <w:tcPr>
            <w:tcW w:w="4814" w:type="dxa"/>
          </w:tcPr>
          <w:p w14:paraId="0540F533" w14:textId="764C5342" w:rsidR="00C3471D" w:rsidRPr="00ED1849" w:rsidRDefault="00C3471D" w:rsidP="002E2176">
            <w:pPr>
              <w:jc w:val="both"/>
              <w:rPr>
                <w:rFonts w:ascii="Arial" w:hAnsi="Arial" w:cs="Arial"/>
                <w:sz w:val="26"/>
                <w:szCs w:val="26"/>
              </w:rPr>
            </w:pPr>
            <w:r w:rsidRPr="00ED1849">
              <w:rPr>
                <w:rFonts w:ascii="Arial" w:hAnsi="Arial" w:cs="Arial"/>
                <w:sz w:val="26"/>
                <w:szCs w:val="26"/>
              </w:rPr>
              <w:t>Richiesta di archiviazione da sottoporre al giudice dell’udienza preliminare</w:t>
            </w:r>
            <w:r w:rsidR="006D5B59">
              <w:rPr>
                <w:rFonts w:ascii="Arial" w:hAnsi="Arial" w:cs="Arial"/>
                <w:sz w:val="26"/>
                <w:szCs w:val="26"/>
              </w:rPr>
              <w:t>.</w:t>
            </w:r>
          </w:p>
        </w:tc>
      </w:tr>
      <w:tr w:rsidR="005E6FBB" w:rsidRPr="001768B2" w14:paraId="294403A3" w14:textId="77777777" w:rsidTr="005E6FBB">
        <w:tc>
          <w:tcPr>
            <w:tcW w:w="4814" w:type="dxa"/>
          </w:tcPr>
          <w:p w14:paraId="0D78A895" w14:textId="507308F5" w:rsidR="005E6FBB" w:rsidRPr="001768B2" w:rsidRDefault="00BA44FB" w:rsidP="005E6FBB">
            <w:pPr>
              <w:rPr>
                <w:rFonts w:ascii="Arial" w:hAnsi="Arial" w:cs="Arial"/>
                <w:sz w:val="26"/>
                <w:szCs w:val="26"/>
              </w:rPr>
            </w:pPr>
            <w:r w:rsidRPr="001768B2">
              <w:rPr>
                <w:rFonts w:ascii="Arial" w:hAnsi="Arial" w:cs="Arial"/>
                <w:sz w:val="26"/>
                <w:szCs w:val="26"/>
              </w:rPr>
              <w:t>L’effettiva esecuzione delle sentenze di condanna è inferiore al 10%</w:t>
            </w:r>
          </w:p>
        </w:tc>
        <w:tc>
          <w:tcPr>
            <w:tcW w:w="4814" w:type="dxa"/>
          </w:tcPr>
          <w:p w14:paraId="68E80CE8" w14:textId="56420D97" w:rsidR="005E6FBB" w:rsidRPr="001768B2" w:rsidRDefault="00DA5276" w:rsidP="00BE4A37">
            <w:pPr>
              <w:jc w:val="both"/>
              <w:rPr>
                <w:rFonts w:ascii="Arial" w:hAnsi="Arial" w:cs="Arial"/>
                <w:sz w:val="26"/>
                <w:szCs w:val="26"/>
              </w:rPr>
            </w:pPr>
            <w:r w:rsidRPr="001768B2">
              <w:rPr>
                <w:rFonts w:ascii="Arial" w:hAnsi="Arial" w:cs="Arial"/>
                <w:sz w:val="26"/>
                <w:szCs w:val="26"/>
              </w:rPr>
              <w:t xml:space="preserve">Togliere l’esecuzione alle Amministrazioni danneggiate ed affidarla al PM contabile (PG su Amministrazioni centrali e PR su Amministrazioni territoriali), da svolgere in </w:t>
            </w:r>
            <w:r w:rsidR="004A4005" w:rsidRPr="001768B2">
              <w:rPr>
                <w:rFonts w:ascii="Arial" w:hAnsi="Arial" w:cs="Arial"/>
                <w:sz w:val="26"/>
                <w:szCs w:val="26"/>
              </w:rPr>
              <w:t xml:space="preserve">collaborazione </w:t>
            </w:r>
            <w:r w:rsidRPr="001768B2">
              <w:rPr>
                <w:rFonts w:ascii="Arial" w:hAnsi="Arial" w:cs="Arial"/>
                <w:sz w:val="26"/>
                <w:szCs w:val="26"/>
              </w:rPr>
              <w:t>con ADER e GdF</w:t>
            </w:r>
            <w:r w:rsidR="004A4005" w:rsidRPr="001768B2">
              <w:rPr>
                <w:rFonts w:ascii="Arial" w:hAnsi="Arial" w:cs="Arial"/>
                <w:sz w:val="26"/>
                <w:szCs w:val="26"/>
              </w:rPr>
              <w:t xml:space="preserve"> (convenzioni)</w:t>
            </w:r>
          </w:p>
        </w:tc>
      </w:tr>
      <w:tr w:rsidR="00E705BF" w:rsidRPr="001768B2" w14:paraId="51C511BC" w14:textId="77777777" w:rsidTr="005E6FBB">
        <w:tc>
          <w:tcPr>
            <w:tcW w:w="4814" w:type="dxa"/>
          </w:tcPr>
          <w:p w14:paraId="16C7E2C5" w14:textId="39513122" w:rsidR="00E705BF" w:rsidRPr="001768B2" w:rsidRDefault="00E705BF" w:rsidP="00E705BF">
            <w:pPr>
              <w:jc w:val="both"/>
              <w:rPr>
                <w:rFonts w:ascii="Arial" w:hAnsi="Arial" w:cs="Arial"/>
                <w:sz w:val="26"/>
                <w:szCs w:val="26"/>
              </w:rPr>
            </w:pPr>
            <w:r w:rsidRPr="001768B2">
              <w:rPr>
                <w:rFonts w:ascii="Arial" w:hAnsi="Arial" w:cs="Arial"/>
                <w:sz w:val="26"/>
                <w:szCs w:val="26"/>
              </w:rPr>
              <w:t>Le disposizioni riguardanti l’attività di controllo della Corte dei conti sono distribuite in numerosi testi normativi, talora neppure coordinati.</w:t>
            </w:r>
          </w:p>
        </w:tc>
        <w:tc>
          <w:tcPr>
            <w:tcW w:w="4814" w:type="dxa"/>
          </w:tcPr>
          <w:p w14:paraId="0D535A8A" w14:textId="140EA80E" w:rsidR="00E705BF" w:rsidRPr="001768B2" w:rsidRDefault="006D5B59" w:rsidP="00E705BF">
            <w:pPr>
              <w:jc w:val="both"/>
              <w:rPr>
                <w:rFonts w:ascii="Arial" w:hAnsi="Arial" w:cs="Arial"/>
                <w:sz w:val="26"/>
                <w:szCs w:val="26"/>
              </w:rPr>
            </w:pPr>
            <w:r>
              <w:rPr>
                <w:rFonts w:ascii="Arial" w:hAnsi="Arial" w:cs="Arial"/>
                <w:sz w:val="26"/>
                <w:szCs w:val="26"/>
              </w:rPr>
              <w:t>Potrebbe essere opportuno un t</w:t>
            </w:r>
            <w:r w:rsidR="00E705BF" w:rsidRPr="001768B2">
              <w:rPr>
                <w:rFonts w:ascii="Arial" w:hAnsi="Arial" w:cs="Arial"/>
                <w:sz w:val="26"/>
                <w:szCs w:val="26"/>
              </w:rPr>
              <w:t>esto unico delle disposizioni in materia di controllo della Corte dei conti (delega)</w:t>
            </w:r>
          </w:p>
        </w:tc>
      </w:tr>
    </w:tbl>
    <w:p w14:paraId="7CE1306D" w14:textId="77777777" w:rsidR="006D5B59" w:rsidRDefault="006D5B59" w:rsidP="006D5B59">
      <w:pPr>
        <w:shd w:val="clear" w:color="auto" w:fill="FFFFFF"/>
        <w:jc w:val="center"/>
        <w:rPr>
          <w:rFonts w:ascii="Arial" w:hAnsi="Arial" w:cs="Arial"/>
          <w:color w:val="000000"/>
          <w:sz w:val="26"/>
          <w:szCs w:val="26"/>
        </w:rPr>
      </w:pPr>
    </w:p>
    <w:p w14:paraId="19C179FE" w14:textId="2A57944E" w:rsidR="006D5B59" w:rsidRPr="00836475" w:rsidRDefault="006D5B59" w:rsidP="006D5B59">
      <w:pPr>
        <w:shd w:val="clear" w:color="auto" w:fill="FFFFFF"/>
        <w:jc w:val="center"/>
        <w:rPr>
          <w:rFonts w:ascii="Arial" w:hAnsi="Arial" w:cs="Arial"/>
          <w:b/>
          <w:color w:val="000000"/>
          <w:sz w:val="26"/>
          <w:szCs w:val="26"/>
        </w:rPr>
      </w:pPr>
      <w:bookmarkStart w:id="0" w:name="_GoBack"/>
      <w:r w:rsidRPr="00836475">
        <w:rPr>
          <w:rFonts w:ascii="Arial" w:hAnsi="Arial" w:cs="Arial"/>
          <w:b/>
          <w:color w:val="000000"/>
          <w:sz w:val="26"/>
          <w:szCs w:val="26"/>
        </w:rPr>
        <w:t>Conclusioni</w:t>
      </w:r>
    </w:p>
    <w:bookmarkEnd w:id="0"/>
    <w:p w14:paraId="5C542E24" w14:textId="575784EC" w:rsidR="00E116FC" w:rsidRDefault="00951F23" w:rsidP="00E116FC">
      <w:pPr>
        <w:shd w:val="clear" w:color="auto" w:fill="FFFFFF"/>
        <w:jc w:val="both"/>
        <w:rPr>
          <w:rFonts w:ascii="Arial" w:hAnsi="Arial" w:cs="Arial"/>
          <w:color w:val="000000"/>
          <w:sz w:val="26"/>
          <w:szCs w:val="26"/>
        </w:rPr>
      </w:pPr>
      <w:r w:rsidRPr="001768B2">
        <w:rPr>
          <w:rFonts w:ascii="Arial" w:hAnsi="Arial" w:cs="Arial"/>
          <w:color w:val="000000"/>
          <w:sz w:val="26"/>
          <w:szCs w:val="26"/>
        </w:rPr>
        <w:t xml:space="preserve">La </w:t>
      </w:r>
      <w:r w:rsidR="006D5B59">
        <w:rPr>
          <w:rFonts w:ascii="Arial" w:hAnsi="Arial" w:cs="Arial"/>
          <w:color w:val="000000"/>
          <w:sz w:val="26"/>
          <w:szCs w:val="26"/>
        </w:rPr>
        <w:t>C</w:t>
      </w:r>
      <w:r w:rsidRPr="001768B2">
        <w:rPr>
          <w:rFonts w:ascii="Arial" w:hAnsi="Arial" w:cs="Arial"/>
          <w:color w:val="000000"/>
          <w:sz w:val="26"/>
          <w:szCs w:val="26"/>
        </w:rPr>
        <w:t>orte</w:t>
      </w:r>
      <w:r w:rsidR="00ED1849">
        <w:rPr>
          <w:rFonts w:ascii="Arial" w:hAnsi="Arial" w:cs="Arial"/>
          <w:color w:val="000000"/>
          <w:sz w:val="26"/>
          <w:szCs w:val="26"/>
        </w:rPr>
        <w:t xml:space="preserve"> </w:t>
      </w:r>
      <w:proofErr w:type="gramStart"/>
      <w:r w:rsidR="00ED1849">
        <w:rPr>
          <w:rFonts w:ascii="Arial" w:hAnsi="Arial" w:cs="Arial"/>
          <w:color w:val="000000"/>
          <w:sz w:val="26"/>
          <w:szCs w:val="26"/>
        </w:rPr>
        <w:t xml:space="preserve">insomma </w:t>
      </w:r>
      <w:r w:rsidRPr="001768B2">
        <w:rPr>
          <w:rFonts w:ascii="Arial" w:hAnsi="Arial" w:cs="Arial"/>
          <w:color w:val="000000"/>
          <w:sz w:val="26"/>
          <w:szCs w:val="26"/>
        </w:rPr>
        <w:t xml:space="preserve"> </w:t>
      </w:r>
      <w:r w:rsidR="00ED1849">
        <w:rPr>
          <w:rFonts w:ascii="Arial" w:hAnsi="Arial" w:cs="Arial"/>
          <w:color w:val="000000"/>
          <w:sz w:val="26"/>
          <w:szCs w:val="26"/>
        </w:rPr>
        <w:t>d</w:t>
      </w:r>
      <w:r w:rsidRPr="001768B2">
        <w:rPr>
          <w:rFonts w:ascii="Arial" w:hAnsi="Arial" w:cs="Arial"/>
          <w:color w:val="000000"/>
          <w:sz w:val="26"/>
          <w:szCs w:val="26"/>
        </w:rPr>
        <w:t>eve</w:t>
      </w:r>
      <w:proofErr w:type="gramEnd"/>
      <w:r w:rsidRPr="001768B2">
        <w:rPr>
          <w:rFonts w:ascii="Arial" w:hAnsi="Arial" w:cs="Arial"/>
          <w:color w:val="000000"/>
          <w:sz w:val="26"/>
          <w:szCs w:val="26"/>
        </w:rPr>
        <w:t xml:space="preserve"> </w:t>
      </w:r>
      <w:r w:rsidR="00E705BF">
        <w:rPr>
          <w:rFonts w:ascii="Arial" w:hAnsi="Arial" w:cs="Arial"/>
          <w:color w:val="000000"/>
          <w:sz w:val="26"/>
          <w:szCs w:val="26"/>
        </w:rPr>
        <w:t xml:space="preserve">essere riformata per </w:t>
      </w:r>
      <w:r w:rsidRPr="001768B2">
        <w:rPr>
          <w:rFonts w:ascii="Arial" w:hAnsi="Arial" w:cs="Arial"/>
          <w:color w:val="000000"/>
          <w:sz w:val="26"/>
          <w:szCs w:val="26"/>
        </w:rPr>
        <w:t xml:space="preserve">svolgere una funzione di guida per gli amministratori </w:t>
      </w:r>
      <w:r w:rsidR="00ED1849">
        <w:rPr>
          <w:rFonts w:ascii="Arial" w:hAnsi="Arial" w:cs="Arial"/>
          <w:color w:val="000000"/>
          <w:sz w:val="26"/>
          <w:szCs w:val="26"/>
        </w:rPr>
        <w:t>in modo da</w:t>
      </w:r>
      <w:r w:rsidRPr="001768B2">
        <w:rPr>
          <w:rFonts w:ascii="Arial" w:hAnsi="Arial" w:cs="Arial"/>
          <w:color w:val="000000"/>
          <w:sz w:val="26"/>
          <w:szCs w:val="26"/>
        </w:rPr>
        <w:t>  prevenire fenomeni di depauperamento delle risorse pubbliche a causa di comportamenti non corretti</w:t>
      </w:r>
      <w:r w:rsidR="001768B2">
        <w:rPr>
          <w:rFonts w:ascii="Arial" w:hAnsi="Arial" w:cs="Arial"/>
          <w:color w:val="000000"/>
          <w:sz w:val="26"/>
          <w:szCs w:val="26"/>
        </w:rPr>
        <w:t>,</w:t>
      </w:r>
      <w:r w:rsidRPr="001768B2">
        <w:rPr>
          <w:rFonts w:ascii="Arial" w:hAnsi="Arial" w:cs="Arial"/>
          <w:color w:val="000000"/>
          <w:sz w:val="26"/>
          <w:szCs w:val="26"/>
        </w:rPr>
        <w:t xml:space="preserve"> operando un monitoraggio costante e collaborativo su gran parte delle amministrazioni</w:t>
      </w:r>
      <w:r w:rsidR="00ED1849">
        <w:rPr>
          <w:rFonts w:ascii="Arial" w:hAnsi="Arial" w:cs="Arial"/>
          <w:color w:val="000000"/>
          <w:sz w:val="26"/>
          <w:szCs w:val="26"/>
        </w:rPr>
        <w:t>. L</w:t>
      </w:r>
      <w:r w:rsidRPr="001768B2">
        <w:rPr>
          <w:rFonts w:ascii="Arial" w:hAnsi="Arial" w:cs="Arial"/>
          <w:color w:val="000000"/>
          <w:sz w:val="26"/>
          <w:szCs w:val="26"/>
        </w:rPr>
        <w:t xml:space="preserve">a </w:t>
      </w:r>
      <w:r w:rsidR="006D5B59">
        <w:rPr>
          <w:rFonts w:ascii="Arial" w:hAnsi="Arial" w:cs="Arial"/>
          <w:color w:val="000000"/>
          <w:sz w:val="26"/>
          <w:szCs w:val="26"/>
        </w:rPr>
        <w:t>C</w:t>
      </w:r>
      <w:r w:rsidRPr="001768B2">
        <w:rPr>
          <w:rFonts w:ascii="Arial" w:hAnsi="Arial" w:cs="Arial"/>
          <w:color w:val="000000"/>
          <w:sz w:val="26"/>
          <w:szCs w:val="26"/>
        </w:rPr>
        <w:t>orte potrebbe sfruttare la propria rete territoriale per mettere a fattor comune soluzioni organizzativo/</w:t>
      </w:r>
      <w:proofErr w:type="gramStart"/>
      <w:r w:rsidRPr="001768B2">
        <w:rPr>
          <w:rFonts w:ascii="Arial" w:hAnsi="Arial" w:cs="Arial"/>
          <w:color w:val="000000"/>
          <w:sz w:val="26"/>
          <w:szCs w:val="26"/>
        </w:rPr>
        <w:t>gestionali  a</w:t>
      </w:r>
      <w:proofErr w:type="gramEnd"/>
      <w:r w:rsidRPr="001768B2">
        <w:rPr>
          <w:rFonts w:ascii="Arial" w:hAnsi="Arial" w:cs="Arial"/>
          <w:color w:val="000000"/>
          <w:sz w:val="26"/>
          <w:szCs w:val="26"/>
        </w:rPr>
        <w:t xml:space="preserve"> fronte di problematiche simili</w:t>
      </w:r>
      <w:r w:rsidR="001768B2">
        <w:rPr>
          <w:rFonts w:ascii="Arial" w:hAnsi="Arial" w:cs="Arial"/>
          <w:color w:val="000000"/>
          <w:sz w:val="26"/>
          <w:szCs w:val="26"/>
        </w:rPr>
        <w:t xml:space="preserve"> efficientando l’attuale utilizzo</w:t>
      </w:r>
      <w:r w:rsidR="00A4309B">
        <w:rPr>
          <w:rFonts w:ascii="Arial" w:hAnsi="Arial" w:cs="Arial"/>
          <w:color w:val="000000"/>
          <w:sz w:val="26"/>
          <w:szCs w:val="26"/>
        </w:rPr>
        <w:t xml:space="preserve"> </w:t>
      </w:r>
      <w:r w:rsidR="006D5B59">
        <w:rPr>
          <w:rFonts w:ascii="Arial" w:hAnsi="Arial" w:cs="Arial"/>
          <w:color w:val="000000"/>
          <w:sz w:val="26"/>
          <w:szCs w:val="26"/>
        </w:rPr>
        <w:t xml:space="preserve">dei magistrati, </w:t>
      </w:r>
      <w:r w:rsidR="00A4309B">
        <w:rPr>
          <w:rFonts w:ascii="Arial" w:hAnsi="Arial" w:cs="Arial"/>
          <w:color w:val="000000"/>
          <w:sz w:val="26"/>
          <w:szCs w:val="26"/>
        </w:rPr>
        <w:t>specie di quanti scarsamente impegnati nelle sezioni giurisdizionali</w:t>
      </w:r>
      <w:r w:rsidR="001768B2">
        <w:rPr>
          <w:rFonts w:ascii="Arial" w:hAnsi="Arial" w:cs="Arial"/>
          <w:color w:val="000000"/>
          <w:sz w:val="26"/>
          <w:szCs w:val="26"/>
        </w:rPr>
        <w:t>.</w:t>
      </w:r>
      <w:r w:rsidR="00ED1849">
        <w:rPr>
          <w:rFonts w:ascii="Arial" w:hAnsi="Arial" w:cs="Arial"/>
          <w:color w:val="000000"/>
          <w:sz w:val="26"/>
          <w:szCs w:val="26"/>
        </w:rPr>
        <w:t xml:space="preserve"> </w:t>
      </w:r>
      <w:r w:rsidR="00E116FC" w:rsidRPr="001768B2">
        <w:rPr>
          <w:rFonts w:ascii="Arial" w:hAnsi="Arial" w:cs="Arial"/>
          <w:color w:val="000000"/>
          <w:sz w:val="26"/>
          <w:szCs w:val="26"/>
        </w:rPr>
        <w:t>La stessa Consulta invoca l’abbandono della cultura della “amministrazione per procedimenti” per abbracciare quella della “amministrazione per risultati”, dove il fattore “tempo” assume valore non secondario rispetto alla correttezza formale delle procedure</w:t>
      </w:r>
      <w:r w:rsidR="00ED1849">
        <w:rPr>
          <w:rFonts w:ascii="Arial" w:hAnsi="Arial" w:cs="Arial"/>
          <w:color w:val="000000"/>
          <w:sz w:val="26"/>
          <w:szCs w:val="26"/>
        </w:rPr>
        <w:t>.</w:t>
      </w:r>
    </w:p>
    <w:p w14:paraId="27F554F2" w14:textId="09C892D9" w:rsidR="00ED1849" w:rsidRDefault="00ED1849" w:rsidP="00E116FC">
      <w:pPr>
        <w:shd w:val="clear" w:color="auto" w:fill="FFFFFF"/>
        <w:jc w:val="both"/>
        <w:rPr>
          <w:rFonts w:ascii="Arial" w:hAnsi="Arial" w:cs="Arial"/>
          <w:color w:val="000000"/>
          <w:sz w:val="26"/>
          <w:szCs w:val="26"/>
        </w:rPr>
      </w:pPr>
    </w:p>
    <w:p w14:paraId="6EB63485" w14:textId="77777777" w:rsidR="00ED1849" w:rsidRPr="001768B2" w:rsidRDefault="00ED1849" w:rsidP="00E116FC">
      <w:pPr>
        <w:shd w:val="clear" w:color="auto" w:fill="FFFFFF"/>
        <w:jc w:val="both"/>
        <w:rPr>
          <w:rFonts w:ascii="Arial" w:hAnsi="Arial" w:cs="Arial"/>
          <w:color w:val="000000"/>
          <w:sz w:val="26"/>
          <w:szCs w:val="26"/>
        </w:rPr>
      </w:pPr>
    </w:p>
    <w:p w14:paraId="45D6CBC5" w14:textId="77777777" w:rsidR="00E116FC" w:rsidRPr="001768B2" w:rsidRDefault="00E116FC" w:rsidP="00951F23">
      <w:pPr>
        <w:shd w:val="clear" w:color="auto" w:fill="FFFFFF"/>
        <w:jc w:val="both"/>
        <w:rPr>
          <w:rFonts w:ascii="Arial" w:hAnsi="Arial" w:cs="Arial"/>
          <w:color w:val="000000"/>
          <w:sz w:val="26"/>
          <w:szCs w:val="26"/>
        </w:rPr>
      </w:pPr>
    </w:p>
    <w:p w14:paraId="6EB5EAE3" w14:textId="77777777" w:rsidR="005E6FBB" w:rsidRPr="001768B2" w:rsidRDefault="005E6FBB">
      <w:pPr>
        <w:rPr>
          <w:rFonts w:ascii="Arial" w:hAnsi="Arial" w:cs="Arial"/>
          <w:sz w:val="26"/>
          <w:szCs w:val="26"/>
        </w:rPr>
      </w:pPr>
    </w:p>
    <w:sectPr w:rsidR="005E6FBB" w:rsidRPr="001768B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7F96" w14:textId="77777777" w:rsidR="003D522A" w:rsidRDefault="003D522A" w:rsidP="00ED1849">
      <w:pPr>
        <w:spacing w:after="0" w:line="240" w:lineRule="auto"/>
      </w:pPr>
      <w:r>
        <w:separator/>
      </w:r>
    </w:p>
  </w:endnote>
  <w:endnote w:type="continuationSeparator" w:id="0">
    <w:p w14:paraId="35FC7C08" w14:textId="77777777" w:rsidR="003D522A" w:rsidRDefault="003D522A" w:rsidP="00ED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C46E" w14:textId="77777777" w:rsidR="003D522A" w:rsidRDefault="003D522A" w:rsidP="00ED1849">
      <w:pPr>
        <w:spacing w:after="0" w:line="240" w:lineRule="auto"/>
      </w:pPr>
      <w:r>
        <w:separator/>
      </w:r>
    </w:p>
  </w:footnote>
  <w:footnote w:type="continuationSeparator" w:id="0">
    <w:p w14:paraId="2EADB3BB" w14:textId="77777777" w:rsidR="003D522A" w:rsidRDefault="003D522A" w:rsidP="00ED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34A6" w14:textId="0F73FF21" w:rsidR="00ED1849" w:rsidRDefault="00ED1849">
    <w:pPr>
      <w:pStyle w:val="Intestazione"/>
    </w:pPr>
  </w:p>
  <w:p w14:paraId="700F5739" w14:textId="669ABF4E" w:rsidR="00ED1849" w:rsidRPr="00ED1849" w:rsidRDefault="00ED1849" w:rsidP="00ED1849">
    <w:pPr>
      <w:pStyle w:val="Intestazione"/>
      <w:jc w:val="center"/>
      <w:rPr>
        <w:b/>
        <w:sz w:val="24"/>
        <w:szCs w:val="24"/>
      </w:rPr>
    </w:pPr>
    <w:r w:rsidRPr="00ED1849">
      <w:rPr>
        <w:b/>
        <w:sz w:val="24"/>
        <w:szCs w:val="24"/>
      </w:rPr>
      <w:t xml:space="preserve">Prof. </w:t>
    </w:r>
    <w:proofErr w:type="spellStart"/>
    <w:r w:rsidRPr="00ED1849">
      <w:rPr>
        <w:b/>
        <w:sz w:val="24"/>
        <w:szCs w:val="24"/>
      </w:rPr>
      <w:t>Avv</w:t>
    </w:r>
    <w:proofErr w:type="spellEnd"/>
    <w:r w:rsidRPr="00ED1849">
      <w:rPr>
        <w:b/>
        <w:sz w:val="24"/>
        <w:szCs w:val="24"/>
      </w:rPr>
      <w:t xml:space="preserve"> Francesco Fimmanò</w:t>
    </w:r>
  </w:p>
  <w:p w14:paraId="7EF3C853" w14:textId="77777777" w:rsidR="00ED1849" w:rsidRPr="00ED1849" w:rsidRDefault="00ED1849" w:rsidP="00ED1849">
    <w:pPr>
      <w:pStyle w:val="Intestazione"/>
      <w:jc w:val="center"/>
      <w:rPr>
        <w:b/>
        <w:sz w:val="24"/>
        <w:szCs w:val="24"/>
      </w:rPr>
    </w:pPr>
    <w:r w:rsidRPr="00ED1849">
      <w:rPr>
        <w:b/>
        <w:sz w:val="24"/>
        <w:szCs w:val="24"/>
      </w:rPr>
      <w:t xml:space="preserve">Ordinario di Diritto Commerciale </w:t>
    </w:r>
  </w:p>
  <w:p w14:paraId="58437B47" w14:textId="67F5FA71" w:rsidR="00ED1849" w:rsidRPr="00ED1849" w:rsidRDefault="00ED1849" w:rsidP="00ED1849">
    <w:pPr>
      <w:pStyle w:val="Intestazione"/>
      <w:jc w:val="center"/>
      <w:rPr>
        <w:b/>
        <w:sz w:val="24"/>
        <w:szCs w:val="24"/>
      </w:rPr>
    </w:pPr>
    <w:r w:rsidRPr="00ED1849">
      <w:rPr>
        <w:b/>
        <w:sz w:val="24"/>
        <w:szCs w:val="24"/>
      </w:rPr>
      <w:t>Università telematica delle camere di Commercio di Roma “</w:t>
    </w:r>
    <w:proofErr w:type="spellStart"/>
    <w:r w:rsidRPr="00ED1849">
      <w:rPr>
        <w:b/>
        <w:sz w:val="24"/>
        <w:szCs w:val="24"/>
      </w:rPr>
      <w:t>Universitas</w:t>
    </w:r>
    <w:proofErr w:type="spellEnd"/>
    <w:r w:rsidRPr="00ED1849">
      <w:rPr>
        <w:b/>
        <w:sz w:val="24"/>
        <w:szCs w:val="24"/>
      </w:rPr>
      <w:t xml:space="preserve"> </w:t>
    </w:r>
    <w:proofErr w:type="spellStart"/>
    <w:r w:rsidRPr="00ED1849">
      <w:rPr>
        <w:b/>
        <w:sz w:val="24"/>
        <w:szCs w:val="24"/>
      </w:rPr>
      <w:t>Mercatorum</w:t>
    </w:r>
    <w:proofErr w:type="spellEnd"/>
    <w:r w:rsidRPr="00ED1849">
      <w:rPr>
        <w:b/>
        <w:sz w:val="24"/>
        <w:szCs w:val="24"/>
      </w:rPr>
      <w:t>”</w:t>
    </w:r>
  </w:p>
  <w:p w14:paraId="5A4CC9D7" w14:textId="4EE835BD" w:rsidR="00ED1849" w:rsidRPr="00ED1849" w:rsidRDefault="00ED1849">
    <w:pPr>
      <w:pStyle w:val="Intestazione"/>
      <w:rPr>
        <w:b/>
        <w:sz w:val="24"/>
        <w:szCs w:val="24"/>
      </w:rPr>
    </w:pPr>
  </w:p>
  <w:p w14:paraId="3D627E6F" w14:textId="75CC3FCF" w:rsidR="00ED1849" w:rsidRDefault="006D5B59" w:rsidP="006D5B59">
    <w:pPr>
      <w:pStyle w:val="Intestazione"/>
      <w:jc w:val="center"/>
    </w:pPr>
    <w:r>
      <w:t xml:space="preserve">Audizione alla Camera dei Deputati su DDL </w:t>
    </w:r>
    <w:proofErr w:type="spellStart"/>
    <w:r>
      <w:t>Foti</w:t>
    </w:r>
    <w:proofErr w:type="spellEnd"/>
    <w:r>
      <w:t xml:space="preserve"> – 29 Luglio 2024 ore 11</w:t>
    </w:r>
  </w:p>
  <w:p w14:paraId="2F395CA7" w14:textId="538D163B" w:rsidR="00ED1849" w:rsidRDefault="00ED1849" w:rsidP="00ED1849">
    <w:pPr>
      <w:pStyle w:val="Intestazione"/>
      <w:tabs>
        <w:tab w:val="clear" w:pos="4819"/>
        <w:tab w:val="clear" w:pos="9638"/>
        <w:tab w:val="left" w:pos="42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BB"/>
    <w:rsid w:val="000228A3"/>
    <w:rsid w:val="00126AB9"/>
    <w:rsid w:val="00164BF2"/>
    <w:rsid w:val="001768B2"/>
    <w:rsid w:val="002E2176"/>
    <w:rsid w:val="00386B1A"/>
    <w:rsid w:val="003D522A"/>
    <w:rsid w:val="004A4005"/>
    <w:rsid w:val="005E6FBB"/>
    <w:rsid w:val="006A0B96"/>
    <w:rsid w:val="006D4B86"/>
    <w:rsid w:val="006D5B59"/>
    <w:rsid w:val="00807AC5"/>
    <w:rsid w:val="00836475"/>
    <w:rsid w:val="008733F2"/>
    <w:rsid w:val="008F13C9"/>
    <w:rsid w:val="00912B36"/>
    <w:rsid w:val="00951F23"/>
    <w:rsid w:val="009877BB"/>
    <w:rsid w:val="00A4309B"/>
    <w:rsid w:val="00AC0862"/>
    <w:rsid w:val="00BA44FB"/>
    <w:rsid w:val="00BC31C5"/>
    <w:rsid w:val="00BE4A37"/>
    <w:rsid w:val="00C3471D"/>
    <w:rsid w:val="00CC42E4"/>
    <w:rsid w:val="00CE4F4B"/>
    <w:rsid w:val="00DA5276"/>
    <w:rsid w:val="00E116FC"/>
    <w:rsid w:val="00E30A2D"/>
    <w:rsid w:val="00E51B06"/>
    <w:rsid w:val="00E705BF"/>
    <w:rsid w:val="00ED1849"/>
    <w:rsid w:val="00ED241D"/>
    <w:rsid w:val="00EF2BAE"/>
    <w:rsid w:val="00F4557D"/>
    <w:rsid w:val="00FC6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A934"/>
  <w15:chartTrackingRefBased/>
  <w15:docId w15:val="{3C193BBB-D567-4D8E-9050-6455AD9E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E6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E6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E6F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E6F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E6F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E6FB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6FB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6FB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6FB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6F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E6F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E6F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E6F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E6F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E6F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E6F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E6F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E6F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E6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6F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E6F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6F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E6F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6FBB"/>
    <w:rPr>
      <w:i/>
      <w:iCs/>
      <w:color w:val="404040" w:themeColor="text1" w:themeTint="BF"/>
    </w:rPr>
  </w:style>
  <w:style w:type="paragraph" w:styleId="Paragrafoelenco">
    <w:name w:val="List Paragraph"/>
    <w:basedOn w:val="Normale"/>
    <w:uiPriority w:val="34"/>
    <w:qFormat/>
    <w:rsid w:val="005E6FBB"/>
    <w:pPr>
      <w:ind w:left="720"/>
      <w:contextualSpacing/>
    </w:pPr>
  </w:style>
  <w:style w:type="character" w:styleId="Enfasiintensa">
    <w:name w:val="Intense Emphasis"/>
    <w:basedOn w:val="Carpredefinitoparagrafo"/>
    <w:uiPriority w:val="21"/>
    <w:qFormat/>
    <w:rsid w:val="005E6FBB"/>
    <w:rPr>
      <w:i/>
      <w:iCs/>
      <w:color w:val="0F4761" w:themeColor="accent1" w:themeShade="BF"/>
    </w:rPr>
  </w:style>
  <w:style w:type="paragraph" w:styleId="Citazioneintensa">
    <w:name w:val="Intense Quote"/>
    <w:basedOn w:val="Normale"/>
    <w:next w:val="Normale"/>
    <w:link w:val="CitazioneintensaCarattere"/>
    <w:uiPriority w:val="30"/>
    <w:qFormat/>
    <w:rsid w:val="005E6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E6FBB"/>
    <w:rPr>
      <w:i/>
      <w:iCs/>
      <w:color w:val="0F4761" w:themeColor="accent1" w:themeShade="BF"/>
    </w:rPr>
  </w:style>
  <w:style w:type="character" w:styleId="Riferimentointenso">
    <w:name w:val="Intense Reference"/>
    <w:basedOn w:val="Carpredefinitoparagrafo"/>
    <w:uiPriority w:val="32"/>
    <w:qFormat/>
    <w:rsid w:val="005E6FBB"/>
    <w:rPr>
      <w:b/>
      <w:bCs/>
      <w:smallCaps/>
      <w:color w:val="0F4761" w:themeColor="accent1" w:themeShade="BF"/>
      <w:spacing w:val="5"/>
    </w:rPr>
  </w:style>
  <w:style w:type="table" w:styleId="Grigliatabella">
    <w:name w:val="Table Grid"/>
    <w:basedOn w:val="Tabellanormale"/>
    <w:uiPriority w:val="39"/>
    <w:rsid w:val="005E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
    <w:name w:val="qu"/>
    <w:basedOn w:val="Carpredefinitoparagrafo"/>
    <w:rsid w:val="00BE4A37"/>
  </w:style>
  <w:style w:type="character" w:customStyle="1" w:styleId="gd">
    <w:name w:val="gd"/>
    <w:basedOn w:val="Carpredefinitoparagrafo"/>
    <w:rsid w:val="00BE4A37"/>
  </w:style>
  <w:style w:type="character" w:customStyle="1" w:styleId="go">
    <w:name w:val="go"/>
    <w:basedOn w:val="Carpredefinitoparagrafo"/>
    <w:rsid w:val="00BE4A37"/>
  </w:style>
  <w:style w:type="character" w:customStyle="1" w:styleId="g3">
    <w:name w:val="g3"/>
    <w:basedOn w:val="Carpredefinitoparagrafo"/>
    <w:rsid w:val="00BE4A37"/>
  </w:style>
  <w:style w:type="character" w:customStyle="1" w:styleId="hb">
    <w:name w:val="hb"/>
    <w:basedOn w:val="Carpredefinitoparagrafo"/>
    <w:rsid w:val="00BE4A37"/>
  </w:style>
  <w:style w:type="character" w:customStyle="1" w:styleId="g2">
    <w:name w:val="g2"/>
    <w:basedOn w:val="Carpredefinitoparagrafo"/>
    <w:rsid w:val="00BE4A37"/>
  </w:style>
  <w:style w:type="paragraph" w:styleId="Intestazione">
    <w:name w:val="header"/>
    <w:basedOn w:val="Normale"/>
    <w:link w:val="IntestazioneCarattere"/>
    <w:uiPriority w:val="99"/>
    <w:unhideWhenUsed/>
    <w:rsid w:val="00ED18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1849"/>
  </w:style>
  <w:style w:type="paragraph" w:styleId="Pidipagina">
    <w:name w:val="footer"/>
    <w:basedOn w:val="Normale"/>
    <w:link w:val="PidipaginaCarattere"/>
    <w:uiPriority w:val="99"/>
    <w:unhideWhenUsed/>
    <w:rsid w:val="00ED18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1849"/>
  </w:style>
  <w:style w:type="paragraph" w:styleId="Testofumetto">
    <w:name w:val="Balloon Text"/>
    <w:basedOn w:val="Normale"/>
    <w:link w:val="TestofumettoCarattere"/>
    <w:uiPriority w:val="99"/>
    <w:semiHidden/>
    <w:unhideWhenUsed/>
    <w:rsid w:val="00386B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160869">
      <w:bodyDiv w:val="1"/>
      <w:marLeft w:val="0"/>
      <w:marRight w:val="0"/>
      <w:marTop w:val="0"/>
      <w:marBottom w:val="0"/>
      <w:divBdr>
        <w:top w:val="none" w:sz="0" w:space="0" w:color="auto"/>
        <w:left w:val="none" w:sz="0" w:space="0" w:color="auto"/>
        <w:bottom w:val="none" w:sz="0" w:space="0" w:color="auto"/>
        <w:right w:val="none" w:sz="0" w:space="0" w:color="auto"/>
      </w:divBdr>
      <w:divsChild>
        <w:div w:id="163711134">
          <w:marLeft w:val="0"/>
          <w:marRight w:val="0"/>
          <w:marTop w:val="0"/>
          <w:marBottom w:val="0"/>
          <w:divBdr>
            <w:top w:val="none" w:sz="0" w:space="0" w:color="auto"/>
            <w:left w:val="none" w:sz="0" w:space="0" w:color="auto"/>
            <w:bottom w:val="none" w:sz="0" w:space="0" w:color="auto"/>
            <w:right w:val="none" w:sz="0" w:space="0" w:color="auto"/>
          </w:divBdr>
          <w:divsChild>
            <w:div w:id="381292478">
              <w:marLeft w:val="0"/>
              <w:marRight w:val="0"/>
              <w:marTop w:val="0"/>
              <w:marBottom w:val="0"/>
              <w:divBdr>
                <w:top w:val="none" w:sz="0" w:space="0" w:color="auto"/>
                <w:left w:val="none" w:sz="0" w:space="0" w:color="auto"/>
                <w:bottom w:val="none" w:sz="0" w:space="0" w:color="auto"/>
                <w:right w:val="none" w:sz="0" w:space="0" w:color="auto"/>
              </w:divBdr>
            </w:div>
          </w:divsChild>
        </w:div>
        <w:div w:id="827865300">
          <w:marLeft w:val="0"/>
          <w:marRight w:val="0"/>
          <w:marTop w:val="0"/>
          <w:marBottom w:val="0"/>
          <w:divBdr>
            <w:top w:val="none" w:sz="0" w:space="0" w:color="auto"/>
            <w:left w:val="none" w:sz="0" w:space="0" w:color="auto"/>
            <w:bottom w:val="none" w:sz="0" w:space="0" w:color="auto"/>
            <w:right w:val="none" w:sz="0" w:space="0" w:color="auto"/>
          </w:divBdr>
          <w:divsChild>
            <w:div w:id="436946964">
              <w:marLeft w:val="0"/>
              <w:marRight w:val="0"/>
              <w:marTop w:val="0"/>
              <w:marBottom w:val="0"/>
              <w:divBdr>
                <w:top w:val="none" w:sz="0" w:space="0" w:color="auto"/>
                <w:left w:val="none" w:sz="0" w:space="0" w:color="auto"/>
                <w:bottom w:val="none" w:sz="0" w:space="0" w:color="auto"/>
                <w:right w:val="none" w:sz="0" w:space="0" w:color="auto"/>
              </w:divBdr>
              <w:divsChild>
                <w:div w:id="1006903566">
                  <w:marLeft w:val="0"/>
                  <w:marRight w:val="0"/>
                  <w:marTop w:val="0"/>
                  <w:marBottom w:val="0"/>
                  <w:divBdr>
                    <w:top w:val="none" w:sz="0" w:space="0" w:color="auto"/>
                    <w:left w:val="none" w:sz="0" w:space="0" w:color="auto"/>
                    <w:bottom w:val="none" w:sz="0" w:space="0" w:color="auto"/>
                    <w:right w:val="none" w:sz="0" w:space="0" w:color="auto"/>
                  </w:divBdr>
                </w:div>
                <w:div w:id="415396750">
                  <w:marLeft w:val="300"/>
                  <w:marRight w:val="0"/>
                  <w:marTop w:val="0"/>
                  <w:marBottom w:val="0"/>
                  <w:divBdr>
                    <w:top w:val="none" w:sz="0" w:space="0" w:color="auto"/>
                    <w:left w:val="none" w:sz="0" w:space="0" w:color="auto"/>
                    <w:bottom w:val="none" w:sz="0" w:space="0" w:color="auto"/>
                    <w:right w:val="none" w:sz="0" w:space="0" w:color="auto"/>
                  </w:divBdr>
                </w:div>
                <w:div w:id="967857424">
                  <w:marLeft w:val="300"/>
                  <w:marRight w:val="0"/>
                  <w:marTop w:val="0"/>
                  <w:marBottom w:val="0"/>
                  <w:divBdr>
                    <w:top w:val="none" w:sz="0" w:space="0" w:color="auto"/>
                    <w:left w:val="none" w:sz="0" w:space="0" w:color="auto"/>
                    <w:bottom w:val="none" w:sz="0" w:space="0" w:color="auto"/>
                    <w:right w:val="none" w:sz="0" w:space="0" w:color="auto"/>
                  </w:divBdr>
                </w:div>
                <w:div w:id="1693602241">
                  <w:marLeft w:val="0"/>
                  <w:marRight w:val="0"/>
                  <w:marTop w:val="0"/>
                  <w:marBottom w:val="0"/>
                  <w:divBdr>
                    <w:top w:val="none" w:sz="0" w:space="0" w:color="auto"/>
                    <w:left w:val="none" w:sz="0" w:space="0" w:color="auto"/>
                    <w:bottom w:val="none" w:sz="0" w:space="0" w:color="auto"/>
                    <w:right w:val="none" w:sz="0" w:space="0" w:color="auto"/>
                  </w:divBdr>
                </w:div>
                <w:div w:id="1815216726">
                  <w:marLeft w:val="60"/>
                  <w:marRight w:val="0"/>
                  <w:marTop w:val="0"/>
                  <w:marBottom w:val="0"/>
                  <w:divBdr>
                    <w:top w:val="none" w:sz="0" w:space="0" w:color="auto"/>
                    <w:left w:val="none" w:sz="0" w:space="0" w:color="auto"/>
                    <w:bottom w:val="none" w:sz="0" w:space="0" w:color="auto"/>
                    <w:right w:val="none" w:sz="0" w:space="0" w:color="auto"/>
                  </w:divBdr>
                </w:div>
              </w:divsChild>
            </w:div>
            <w:div w:id="947202376">
              <w:marLeft w:val="0"/>
              <w:marRight w:val="0"/>
              <w:marTop w:val="0"/>
              <w:marBottom w:val="0"/>
              <w:divBdr>
                <w:top w:val="none" w:sz="0" w:space="0" w:color="auto"/>
                <w:left w:val="none" w:sz="0" w:space="0" w:color="auto"/>
                <w:bottom w:val="none" w:sz="0" w:space="0" w:color="auto"/>
                <w:right w:val="none" w:sz="0" w:space="0" w:color="auto"/>
              </w:divBdr>
              <w:divsChild>
                <w:div w:id="1580485872">
                  <w:marLeft w:val="0"/>
                  <w:marRight w:val="0"/>
                  <w:marTop w:val="120"/>
                  <w:marBottom w:val="0"/>
                  <w:divBdr>
                    <w:top w:val="none" w:sz="0" w:space="0" w:color="auto"/>
                    <w:left w:val="none" w:sz="0" w:space="0" w:color="auto"/>
                    <w:bottom w:val="none" w:sz="0" w:space="0" w:color="auto"/>
                    <w:right w:val="none" w:sz="0" w:space="0" w:color="auto"/>
                  </w:divBdr>
                  <w:divsChild>
                    <w:div w:id="1911958270">
                      <w:marLeft w:val="0"/>
                      <w:marRight w:val="0"/>
                      <w:marTop w:val="0"/>
                      <w:marBottom w:val="0"/>
                      <w:divBdr>
                        <w:top w:val="none" w:sz="0" w:space="0" w:color="auto"/>
                        <w:left w:val="none" w:sz="0" w:space="0" w:color="auto"/>
                        <w:bottom w:val="none" w:sz="0" w:space="0" w:color="auto"/>
                        <w:right w:val="none" w:sz="0" w:space="0" w:color="auto"/>
                      </w:divBdr>
                      <w:divsChild>
                        <w:div w:id="1063257796">
                          <w:marLeft w:val="0"/>
                          <w:marRight w:val="0"/>
                          <w:marTop w:val="0"/>
                          <w:marBottom w:val="0"/>
                          <w:divBdr>
                            <w:top w:val="none" w:sz="0" w:space="0" w:color="auto"/>
                            <w:left w:val="none" w:sz="0" w:space="0" w:color="auto"/>
                            <w:bottom w:val="none" w:sz="0" w:space="0" w:color="auto"/>
                            <w:right w:val="none" w:sz="0" w:space="0" w:color="auto"/>
                          </w:divBdr>
                        </w:div>
                        <w:div w:id="166873779">
                          <w:marLeft w:val="0"/>
                          <w:marRight w:val="0"/>
                          <w:marTop w:val="0"/>
                          <w:marBottom w:val="0"/>
                          <w:divBdr>
                            <w:top w:val="none" w:sz="0" w:space="0" w:color="auto"/>
                            <w:left w:val="none" w:sz="0" w:space="0" w:color="auto"/>
                            <w:bottom w:val="none" w:sz="0" w:space="0" w:color="auto"/>
                            <w:right w:val="none" w:sz="0" w:space="0" w:color="auto"/>
                          </w:divBdr>
                        </w:div>
                        <w:div w:id="1499727914">
                          <w:marLeft w:val="0"/>
                          <w:marRight w:val="0"/>
                          <w:marTop w:val="0"/>
                          <w:marBottom w:val="0"/>
                          <w:divBdr>
                            <w:top w:val="none" w:sz="0" w:space="0" w:color="auto"/>
                            <w:left w:val="none" w:sz="0" w:space="0" w:color="auto"/>
                            <w:bottom w:val="none" w:sz="0" w:space="0" w:color="auto"/>
                            <w:right w:val="none" w:sz="0" w:space="0" w:color="auto"/>
                          </w:divBdr>
                        </w:div>
                        <w:div w:id="1130324571">
                          <w:marLeft w:val="0"/>
                          <w:marRight w:val="0"/>
                          <w:marTop w:val="0"/>
                          <w:marBottom w:val="0"/>
                          <w:divBdr>
                            <w:top w:val="none" w:sz="0" w:space="0" w:color="auto"/>
                            <w:left w:val="none" w:sz="0" w:space="0" w:color="auto"/>
                            <w:bottom w:val="none" w:sz="0" w:space="0" w:color="auto"/>
                            <w:right w:val="none" w:sz="0" w:space="0" w:color="auto"/>
                          </w:divBdr>
                        </w:div>
                        <w:div w:id="1442526591">
                          <w:marLeft w:val="0"/>
                          <w:marRight w:val="0"/>
                          <w:marTop w:val="0"/>
                          <w:marBottom w:val="0"/>
                          <w:divBdr>
                            <w:top w:val="none" w:sz="0" w:space="0" w:color="auto"/>
                            <w:left w:val="none" w:sz="0" w:space="0" w:color="auto"/>
                            <w:bottom w:val="none" w:sz="0" w:space="0" w:color="auto"/>
                            <w:right w:val="none" w:sz="0" w:space="0" w:color="auto"/>
                          </w:divBdr>
                        </w:div>
                        <w:div w:id="1445154353">
                          <w:marLeft w:val="0"/>
                          <w:marRight w:val="0"/>
                          <w:marTop w:val="0"/>
                          <w:marBottom w:val="0"/>
                          <w:divBdr>
                            <w:top w:val="none" w:sz="0" w:space="0" w:color="auto"/>
                            <w:left w:val="none" w:sz="0" w:space="0" w:color="auto"/>
                            <w:bottom w:val="none" w:sz="0" w:space="0" w:color="auto"/>
                            <w:right w:val="none" w:sz="0" w:space="0" w:color="auto"/>
                          </w:divBdr>
                        </w:div>
                        <w:div w:id="1186404526">
                          <w:marLeft w:val="0"/>
                          <w:marRight w:val="0"/>
                          <w:marTop w:val="0"/>
                          <w:marBottom w:val="0"/>
                          <w:divBdr>
                            <w:top w:val="none" w:sz="0" w:space="0" w:color="auto"/>
                            <w:left w:val="none" w:sz="0" w:space="0" w:color="auto"/>
                            <w:bottom w:val="none" w:sz="0" w:space="0" w:color="auto"/>
                            <w:right w:val="none" w:sz="0" w:space="0" w:color="auto"/>
                          </w:divBdr>
                        </w:div>
                        <w:div w:id="1249726394">
                          <w:marLeft w:val="0"/>
                          <w:marRight w:val="0"/>
                          <w:marTop w:val="0"/>
                          <w:marBottom w:val="0"/>
                          <w:divBdr>
                            <w:top w:val="none" w:sz="0" w:space="0" w:color="auto"/>
                            <w:left w:val="none" w:sz="0" w:space="0" w:color="auto"/>
                            <w:bottom w:val="none" w:sz="0" w:space="0" w:color="auto"/>
                            <w:right w:val="none" w:sz="0" w:space="0" w:color="auto"/>
                          </w:divBdr>
                        </w:div>
                        <w:div w:id="937716721">
                          <w:marLeft w:val="0"/>
                          <w:marRight w:val="0"/>
                          <w:marTop w:val="0"/>
                          <w:marBottom w:val="0"/>
                          <w:divBdr>
                            <w:top w:val="none" w:sz="0" w:space="0" w:color="auto"/>
                            <w:left w:val="none" w:sz="0" w:space="0" w:color="auto"/>
                            <w:bottom w:val="none" w:sz="0" w:space="0" w:color="auto"/>
                            <w:right w:val="none" w:sz="0" w:space="0" w:color="auto"/>
                          </w:divBdr>
                        </w:div>
                        <w:div w:id="819884146">
                          <w:marLeft w:val="0"/>
                          <w:marRight w:val="0"/>
                          <w:marTop w:val="0"/>
                          <w:marBottom w:val="0"/>
                          <w:divBdr>
                            <w:top w:val="none" w:sz="0" w:space="0" w:color="auto"/>
                            <w:left w:val="none" w:sz="0" w:space="0" w:color="auto"/>
                            <w:bottom w:val="none" w:sz="0" w:space="0" w:color="auto"/>
                            <w:right w:val="none" w:sz="0" w:space="0" w:color="auto"/>
                          </w:divBdr>
                        </w:div>
                        <w:div w:id="2118256716">
                          <w:marLeft w:val="0"/>
                          <w:marRight w:val="0"/>
                          <w:marTop w:val="0"/>
                          <w:marBottom w:val="0"/>
                          <w:divBdr>
                            <w:top w:val="none" w:sz="0" w:space="0" w:color="auto"/>
                            <w:left w:val="none" w:sz="0" w:space="0" w:color="auto"/>
                            <w:bottom w:val="none" w:sz="0" w:space="0" w:color="auto"/>
                            <w:right w:val="none" w:sz="0" w:space="0" w:color="auto"/>
                          </w:divBdr>
                        </w:div>
                        <w:div w:id="14299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Roberto</dc:creator>
  <cp:keywords/>
  <dc:description/>
  <cp:lastModifiedBy>Francesco Fimmanò</cp:lastModifiedBy>
  <cp:revision>9</cp:revision>
  <cp:lastPrinted>2024-07-29T10:27:00Z</cp:lastPrinted>
  <dcterms:created xsi:type="dcterms:W3CDTF">2024-07-26T14:55:00Z</dcterms:created>
  <dcterms:modified xsi:type="dcterms:W3CDTF">2024-07-29T10:45:00Z</dcterms:modified>
</cp:coreProperties>
</file>