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0C" w:rsidRPr="005C40CA" w:rsidRDefault="005C40CA" w:rsidP="005C40CA">
      <w:pPr>
        <w:jc w:val="center"/>
        <w:rPr>
          <w:b/>
          <w:sz w:val="28"/>
        </w:rPr>
      </w:pPr>
      <w:r w:rsidRPr="005C40CA">
        <w:rPr>
          <w:b/>
          <w:sz w:val="28"/>
        </w:rPr>
        <w:t>GIURISTI DEMOCRATICI</w:t>
      </w:r>
    </w:p>
    <w:p w:rsidR="005C40CA" w:rsidRPr="005C40CA" w:rsidRDefault="005C40CA" w:rsidP="005C40CA">
      <w:pPr>
        <w:jc w:val="center"/>
        <w:rPr>
          <w:b/>
          <w:sz w:val="28"/>
        </w:rPr>
      </w:pPr>
    </w:p>
    <w:p w:rsidR="005C40CA" w:rsidRPr="005C40CA" w:rsidRDefault="005C40CA" w:rsidP="005C40CA">
      <w:p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</w:pP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Vi ringrazio. Come Giuristi 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Democratici ci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soffermeremo brevemente sul profilo costituzionale della norma. Mi limiterò ad 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esprimere,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nei 10 minuti, le principali annotazioni critiche.                                                           </w:t>
      </w:r>
    </w:p>
    <w:p w:rsidR="005C40CA" w:rsidRPr="005C40CA" w:rsidRDefault="005C40CA" w:rsidP="005C40C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</w:pP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La prima, complessiva, riguarda titolo ed oggetto. Il tono è propagandistico; l'efficacia molto dubbia. L'accezione della " sicurezza urbana", qui declinata, allude solo a misure repressive. Non a caso la Costituzione prescrive un rapporto dialettico tra misure di sicurezza e riqualificazione dei territori e dei vissuti. La Corte Costituzionale ha sempre avuto un orientamento univoco. Richiama norme di sicurezza urbana, indicando la priorità della integrità fisica e della tutela dei beni. Il punto di riferimento devono essere sempre gli articoli della prima parte della Costituzione. Riteniamo, infatti, essenziali politiche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sociali  per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prevenire e depotenziare la criminalità urbana. Emergerebbe, in tal modo, il rapporto tra legalità e ricostruzione di uno "spazio pubblico", tra autorità e libertà. La dispersione dello stato sociale comporta, di converso, l'incremento delle politiche securitarie. Come afferma il prof. De Giorgi, si configura una simbiosi tra tutela della formazione sociale e immaginario della sicurezza, che può portare al collasso dello Stato di diritto. Stefano Rodotà scrisse, poco prima della sua morte:" avverto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l'allarme ,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del tutto rimosso dallo stesso dibattito parlamentare, sulla società del controllo; vedo lo stravolgimento del rapporto tra </w:t>
      </w:r>
      <w:proofErr w:type="spell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statualità</w:t>
      </w:r>
      <w:proofErr w:type="spell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e cittadinanza".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E'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incostituzionale la torsione del sacrosanto bisogno di sicurezza in cortocircuiti normativi securitari.                                    </w:t>
      </w:r>
    </w:p>
    <w:p w:rsidR="005C40CA" w:rsidRPr="005C40CA" w:rsidRDefault="005C40CA" w:rsidP="005C40C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</w:pP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Non ci convince l'art. 1. La norma si pone al di fuori dell'ipotesi di associazione sovversiva. Travalica le direttive europee e le stesse, molto complete, leggi italiane. Lascia perplessi la previsione di una doppia costruzione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finalistica ,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la finalità, cioè, dell'atto terroristico. Viene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contestata ,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come fattispecie, la mera detenzione documentale. Avere documenti è "sintomo-come scrive la norma- di una progressione capace di portare repentinamente alla commissione di reati con finalità di terrorismo"? Non andrà, comunque, dimostrato il passaggio dalla dimensione concettuale a quella reale? La norma configura esplicitamente un vero e proprio "terrorismo della parola", che innescherebbe la "radicalizzazione violenta". L'articolo 1 comma 1 lettera b introduce un nuovo delitto contro l'incolumità pubblica (con una sanzione abnorme da 2 a 6 anni), con una fattispecie pericolosamente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indefinita,.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La vaghezza, in una materia così delicata, concernente diritti personali, è pericolosa. Non è troppo vago scrivere "ogni altro metodo per compiere atti di violenza"? Dove è la "finalità di terrorismo"? Se è un delitto contro l'incolumità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pubblica ,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l'ambito della previsione è sconfinato. E inoltre: vale siffatta sanzione anche per il solo danneggiamento? E che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significa ,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nella società digitalizzata, il verbo "detenere" che usa la norma? Vale anche per una pagina web? Siamo sicuri che, in caso di approvazione, interverrebbe la Corte Costituzionale.                                                  </w:t>
      </w:r>
    </w:p>
    <w:p w:rsidR="005C40CA" w:rsidRPr="005C40CA" w:rsidRDefault="005C40CA" w:rsidP="005C40C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</w:pP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Per quanto riguarda le occupazioni di immobili sembra a noi che sia un errore prevedere un titolo autonomo di reato che mette insieme, confusamente, fattispecie 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lastRenderedPageBreak/>
        <w:t xml:space="preserve">molto diverse. Tra l'altro, in una materia costituzionalmente definita (quella del "diritto all'abitare") e socialmente così rilevante. Non è necessario, anche rispetto alla definita normativa europea, un titolo autonomo di reato solo per aumentare, in maniera meramente repressiva, la risposta sanzionatoria, Per un delitto contro il patrimonio una sanzione da 2 a 7 anni è, invero, eccessiva. L'esperienza professionale e le pratiche ci dicono, tra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l'altro,  che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, di fronte ai bisogni, queste forme di deterrenza sanzionatoria sono inefficaci. Né condividiamo la penalizzazione, di fatto contenuta nella norma, di sindacati e associazioni (e di singole e singoli) che agiscono comportamenti di appoggio alle occupazioni per necessità. Vi sono virtuose pratiche quotidiane, già in atto, di rapporto con prefetture per gestire i rilasci degli appartamenti e la pratica virtuosa con i comuni per il passaggio "da casa a casa". Per lo meno andrebbe fatta, nella norma, una casistica precisa di illiceità amministrative e reati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( anche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in relazione alla sanzione) E' la Corte europea dei diritti dell'uomo(della persona)che traccia la strada.                                                  </w:t>
      </w:r>
    </w:p>
    <w:p w:rsidR="005C40CA" w:rsidRDefault="005C40CA" w:rsidP="005C40C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</w:pP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Siamo contrari all'ergastolo ostativo, condannato anche dalla Corte di Giustizia Europea, che qui viene applicato alla "rivolta carceraria". Vorremmo non venisse travolto l'articolo 27 della Costituzione su carcere e pena, voluto, con lucida passione, da Aldo Moro. E per i detenuti che hanno fatto resistenza passiva? </w:t>
      </w:r>
      <w:proofErr w:type="gram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E'</w:t>
      </w:r>
      <w:proofErr w:type="gramEnd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un grave errore che la norma assimili resistenza passiva e rivolta, come scrivono i 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Garanti. Tralasciamo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qui, per ragioni di tempo, l'indicazione di altre importanti criticità (aumento delle sanzioni per blocchi stradali ed ogni manifestazione di conflitto, costituzionalmente definita; cosi come la inaudita revoca della cittadinanza ritardata di 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anni,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che inchioda le persone straniere ad un destino perenne, come se le prescrizioni non esistessero). In definitiva vorremmo fosse radicalmente riscritto un provvedimento che innalza le misure di 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punibilità rispetto</w:t>
      </w: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a condotte che, molto spesso, non hanno una capacità socialmente offensiva.</w:t>
      </w:r>
    </w:p>
    <w:p w:rsidR="005C40CA" w:rsidRPr="005C40CA" w:rsidRDefault="005C40CA" w:rsidP="005C40CA">
      <w:p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</w:pPr>
      <w:bookmarkStart w:id="0" w:name="_GoBack"/>
      <w:bookmarkEnd w:id="0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   </w:t>
      </w:r>
    </w:p>
    <w:p w:rsidR="005C40CA" w:rsidRPr="005C40CA" w:rsidRDefault="005C40CA" w:rsidP="005C40CA">
      <w:pPr>
        <w:jc w:val="both"/>
        <w:rPr>
          <w:rFonts w:ascii="Times New Roman" w:hAnsi="Times New Roman" w:cs="Times New Roman"/>
          <w:b/>
          <w:sz w:val="28"/>
        </w:rPr>
      </w:pPr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 xml:space="preserve"> Giovanni Russo </w:t>
      </w:r>
      <w:proofErr w:type="spellStart"/>
      <w:r w:rsidRPr="005C40CA">
        <w:rPr>
          <w:rFonts w:ascii="Times New Roman" w:hAnsi="Times New Roman" w:cs="Times New Roman"/>
          <w:color w:val="000000"/>
          <w:sz w:val="24"/>
          <w:szCs w:val="21"/>
          <w:shd w:val="clear" w:color="auto" w:fill="FDFCFA"/>
        </w:rPr>
        <w:t>Spena</w:t>
      </w:r>
      <w:proofErr w:type="spellEnd"/>
    </w:p>
    <w:sectPr w:rsidR="005C40CA" w:rsidRPr="005C4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72DD5"/>
    <w:multiLevelType w:val="hybridMultilevel"/>
    <w:tmpl w:val="2F58A5C6"/>
    <w:lvl w:ilvl="0" w:tplc="07AA7F4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A7"/>
    <w:rsid w:val="00207CE8"/>
    <w:rsid w:val="003703A7"/>
    <w:rsid w:val="0049560C"/>
    <w:rsid w:val="00572D2D"/>
    <w:rsid w:val="005C40CA"/>
    <w:rsid w:val="00653193"/>
    <w:rsid w:val="00C52119"/>
    <w:rsid w:val="00C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54FA"/>
  <w15:chartTrackingRefBased/>
  <w15:docId w15:val="{38E64430-7A9D-46E5-A307-4FB77668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4744</Characters>
  <Application>Microsoft Office Word</Application>
  <DocSecurity>0</DocSecurity>
  <Lines>39</Lines>
  <Paragraphs>11</Paragraphs>
  <ScaleCrop>false</ScaleCrop>
  <Company>Cdd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Natale - PC</dc:creator>
  <cp:keywords/>
  <dc:description/>
  <cp:lastModifiedBy>Alessio Natale - PC</cp:lastModifiedBy>
  <cp:revision>2</cp:revision>
  <dcterms:created xsi:type="dcterms:W3CDTF">2024-05-20T07:11:00Z</dcterms:created>
  <dcterms:modified xsi:type="dcterms:W3CDTF">2024-05-20T07:12:00Z</dcterms:modified>
</cp:coreProperties>
</file>