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A6929" w14:textId="5DB36D45" w:rsidR="00FA6B55" w:rsidRPr="006A6A78" w:rsidRDefault="00120C3E" w:rsidP="00120C3E">
      <w:pPr>
        <w:spacing w:after="0" w:line="240" w:lineRule="auto"/>
        <w:jc w:val="center"/>
        <w:rPr>
          <w:rFonts w:ascii="Times New Roman" w:hAnsi="Times New Roman"/>
          <w:b/>
          <w:smallCaps/>
          <w:spacing w:val="60"/>
          <w:sz w:val="28"/>
          <w:szCs w:val="28"/>
        </w:rPr>
      </w:pPr>
      <w:r>
        <w:rPr>
          <w:rFonts w:ascii="Book Antiqua" w:hAnsi="Book Antiqua"/>
          <w:b/>
          <w:bCs/>
          <w:sz w:val="28"/>
        </w:rPr>
        <w:t>Audizione informale alle c</w:t>
      </w:r>
      <w:r w:rsidRPr="00120C3E">
        <w:rPr>
          <w:rFonts w:ascii="Book Antiqua" w:hAnsi="Book Antiqua"/>
          <w:b/>
          <w:bCs/>
          <w:sz w:val="28"/>
        </w:rPr>
        <w:t xml:space="preserve">ommissioni riunite I e II della Camera dei </w:t>
      </w:r>
      <w:r>
        <w:rPr>
          <w:rFonts w:ascii="Book Antiqua" w:hAnsi="Book Antiqua"/>
          <w:b/>
          <w:bCs/>
          <w:sz w:val="28"/>
        </w:rPr>
        <w:t>D</w:t>
      </w:r>
      <w:r w:rsidRPr="00120C3E">
        <w:rPr>
          <w:rFonts w:ascii="Book Antiqua" w:hAnsi="Book Antiqua"/>
          <w:b/>
          <w:bCs/>
          <w:sz w:val="28"/>
        </w:rPr>
        <w:t>eputati</w:t>
      </w:r>
    </w:p>
    <w:p w14:paraId="78C5841D" w14:textId="3DA6FE32" w:rsidR="00FA6B55" w:rsidRDefault="00FA6B55" w:rsidP="00120C3E">
      <w:pPr>
        <w:spacing w:after="0" w:line="240" w:lineRule="auto"/>
        <w:jc w:val="center"/>
        <w:rPr>
          <w:rFonts w:ascii="Times New Roman" w:hAnsi="Times New Roman"/>
          <w:sz w:val="28"/>
          <w:szCs w:val="28"/>
        </w:rPr>
      </w:pPr>
    </w:p>
    <w:p w14:paraId="4A728EDE" w14:textId="27DFB829" w:rsidR="004E3B0E" w:rsidRDefault="004E3B0E" w:rsidP="00FA6B55">
      <w:pPr>
        <w:spacing w:after="0" w:line="240" w:lineRule="auto"/>
        <w:ind w:left="3261"/>
        <w:rPr>
          <w:rFonts w:ascii="Times New Roman" w:hAnsi="Times New Roman"/>
          <w:sz w:val="28"/>
          <w:szCs w:val="28"/>
        </w:rPr>
      </w:pPr>
    </w:p>
    <w:p w14:paraId="4CA8CABF" w14:textId="77777777" w:rsidR="004E3B0E" w:rsidRPr="006A6A78" w:rsidRDefault="004E3B0E" w:rsidP="00FA6B55">
      <w:pPr>
        <w:spacing w:after="0" w:line="240" w:lineRule="auto"/>
        <w:ind w:left="3261"/>
        <w:rPr>
          <w:rFonts w:ascii="Times New Roman" w:hAnsi="Times New Roman"/>
          <w:sz w:val="28"/>
          <w:szCs w:val="28"/>
        </w:rPr>
      </w:pPr>
    </w:p>
    <w:p w14:paraId="231E9134" w14:textId="0AD9F988" w:rsidR="00FA6B55" w:rsidRPr="00FA6B55" w:rsidRDefault="00FA6B55" w:rsidP="00FA6B55">
      <w:pPr>
        <w:framePr w:w="7857" w:hSpace="141" w:wrap="auto" w:vAnchor="text" w:hAnchor="page" w:x="2148" w:y="80"/>
        <w:pBdr>
          <w:top w:val="single" w:sz="6" w:space="1" w:color="auto" w:shadow="1"/>
          <w:left w:val="single" w:sz="6" w:space="1" w:color="auto" w:shadow="1"/>
          <w:bottom w:val="single" w:sz="6" w:space="1" w:color="auto" w:shadow="1"/>
          <w:right w:val="single" w:sz="6" w:space="1" w:color="auto" w:shadow="1"/>
        </w:pBdr>
        <w:spacing w:after="0" w:line="240" w:lineRule="auto"/>
        <w:jc w:val="center"/>
        <w:rPr>
          <w:rFonts w:ascii="Book Antiqua" w:hAnsi="Book Antiqua"/>
          <w:b/>
          <w:sz w:val="28"/>
          <w:szCs w:val="28"/>
        </w:rPr>
      </w:pPr>
      <w:r w:rsidRPr="00FA6B55">
        <w:rPr>
          <w:rFonts w:ascii="Book Antiqua" w:hAnsi="Book Antiqua"/>
          <w:b/>
          <w:sz w:val="28"/>
          <w:szCs w:val="28"/>
        </w:rPr>
        <w:t xml:space="preserve">DDL </w:t>
      </w:r>
      <w:r w:rsidR="00120C3E">
        <w:rPr>
          <w:rFonts w:ascii="Book Antiqua" w:hAnsi="Book Antiqua"/>
          <w:b/>
          <w:sz w:val="28"/>
          <w:szCs w:val="28"/>
        </w:rPr>
        <w:t>C</w:t>
      </w:r>
      <w:r w:rsidRPr="00FA6B55">
        <w:rPr>
          <w:rFonts w:ascii="Book Antiqua" w:hAnsi="Book Antiqua"/>
          <w:b/>
          <w:sz w:val="28"/>
          <w:szCs w:val="28"/>
        </w:rPr>
        <w:t xml:space="preserve">. </w:t>
      </w:r>
      <w:r w:rsidR="00120C3E">
        <w:rPr>
          <w:rFonts w:ascii="Book Antiqua" w:hAnsi="Book Antiqua"/>
          <w:b/>
          <w:sz w:val="28"/>
          <w:szCs w:val="28"/>
          <w:u w:val="single"/>
        </w:rPr>
        <w:t>1660</w:t>
      </w:r>
    </w:p>
    <w:p w14:paraId="51169242" w14:textId="625917C2" w:rsidR="00FA6B55" w:rsidRPr="00FA6B55" w:rsidRDefault="00FA6B55" w:rsidP="00FA6B55">
      <w:pPr>
        <w:framePr w:w="7857" w:hSpace="141" w:wrap="auto" w:vAnchor="text" w:hAnchor="page" w:x="2148" w:y="80"/>
        <w:pBdr>
          <w:top w:val="single" w:sz="6" w:space="1" w:color="auto" w:shadow="1"/>
          <w:left w:val="single" w:sz="6" w:space="1" w:color="auto" w:shadow="1"/>
          <w:bottom w:val="single" w:sz="6" w:space="1" w:color="auto" w:shadow="1"/>
          <w:right w:val="single" w:sz="6" w:space="1" w:color="auto" w:shadow="1"/>
        </w:pBdr>
        <w:spacing w:after="0" w:line="240" w:lineRule="auto"/>
        <w:jc w:val="center"/>
        <w:rPr>
          <w:rFonts w:ascii="Book Antiqua" w:hAnsi="Book Antiqua"/>
          <w:b/>
          <w:i/>
          <w:szCs w:val="28"/>
        </w:rPr>
      </w:pPr>
      <w:r w:rsidRPr="00FA6B55">
        <w:rPr>
          <w:rFonts w:ascii="Book Antiqua" w:hAnsi="Book Antiqua"/>
          <w:b/>
          <w:i/>
          <w:szCs w:val="28"/>
        </w:rPr>
        <w:t>(</w:t>
      </w:r>
      <w:bookmarkStart w:id="0" w:name="_Hlk167031528"/>
      <w:r w:rsidR="00120C3E" w:rsidRPr="00120C3E">
        <w:rPr>
          <w:rFonts w:ascii="Book Antiqua" w:hAnsi="Book Antiqua"/>
          <w:b/>
          <w:bCs/>
          <w:i/>
          <w:szCs w:val="28"/>
        </w:rPr>
        <w:t>Disposizioni in materia di sicurezza pubblica, di tutela del personale in servizio, nonché di vittime dell'usura e di ordinamento penitenziario</w:t>
      </w:r>
      <w:bookmarkEnd w:id="0"/>
      <w:r w:rsidRPr="00FA6B55">
        <w:rPr>
          <w:rFonts w:ascii="Book Antiqua" w:hAnsi="Book Antiqua"/>
          <w:b/>
          <w:i/>
          <w:szCs w:val="28"/>
        </w:rPr>
        <w:t>)</w:t>
      </w:r>
    </w:p>
    <w:p w14:paraId="69F5C44B" w14:textId="77777777" w:rsidR="00FA6B55" w:rsidRPr="00FA6B55" w:rsidRDefault="00FA6B55" w:rsidP="00FA6B55">
      <w:pPr>
        <w:framePr w:w="7857" w:hSpace="141" w:wrap="auto" w:vAnchor="text" w:hAnchor="page" w:x="2148" w:y="80"/>
        <w:pBdr>
          <w:top w:val="single" w:sz="6" w:space="1" w:color="auto" w:shadow="1"/>
          <w:left w:val="single" w:sz="6" w:space="1" w:color="auto" w:shadow="1"/>
          <w:bottom w:val="single" w:sz="6" w:space="1" w:color="auto" w:shadow="1"/>
          <w:right w:val="single" w:sz="6" w:space="1" w:color="auto" w:shadow="1"/>
        </w:pBdr>
        <w:spacing w:after="0" w:line="240" w:lineRule="auto"/>
        <w:jc w:val="center"/>
        <w:rPr>
          <w:rFonts w:ascii="Times New Roman" w:hAnsi="Times New Roman"/>
          <w:b/>
          <w:sz w:val="22"/>
          <w:szCs w:val="28"/>
        </w:rPr>
      </w:pPr>
    </w:p>
    <w:p w14:paraId="147854AE" w14:textId="77777777" w:rsidR="00FA6B55" w:rsidRPr="006A6A78" w:rsidRDefault="00FA6B55" w:rsidP="00FA6B55">
      <w:pPr>
        <w:spacing w:after="0" w:line="240" w:lineRule="auto"/>
        <w:jc w:val="center"/>
        <w:rPr>
          <w:rFonts w:ascii="Times New Roman" w:hAnsi="Times New Roman"/>
          <w:b/>
          <w:sz w:val="28"/>
          <w:szCs w:val="28"/>
        </w:rPr>
      </w:pPr>
    </w:p>
    <w:p w14:paraId="67554C1C" w14:textId="77777777" w:rsidR="00FA6B55" w:rsidRPr="006A6A78" w:rsidRDefault="00FA6B55" w:rsidP="00FA6B55">
      <w:pPr>
        <w:spacing w:after="0" w:line="240" w:lineRule="auto"/>
        <w:jc w:val="center"/>
        <w:rPr>
          <w:rFonts w:ascii="Times New Roman" w:hAnsi="Times New Roman"/>
          <w:b/>
          <w:sz w:val="28"/>
          <w:szCs w:val="28"/>
        </w:rPr>
      </w:pPr>
    </w:p>
    <w:p w14:paraId="19464881" w14:textId="77777777" w:rsidR="00FA6B55" w:rsidRPr="00FA6B55" w:rsidRDefault="00FA6B55" w:rsidP="00FA6B55">
      <w:pPr>
        <w:spacing w:line="240" w:lineRule="auto"/>
        <w:jc w:val="both"/>
        <w:rPr>
          <w:rFonts w:ascii="Book Antiqua" w:hAnsi="Book Antiqua"/>
          <w:b/>
          <w:bCs/>
          <w:sz w:val="22"/>
        </w:rPr>
      </w:pPr>
    </w:p>
    <w:p w14:paraId="4E65306D" w14:textId="2CD12CCD" w:rsidR="00FA6B55" w:rsidRPr="00FA6B55" w:rsidRDefault="004E3B0E" w:rsidP="00FA6B55">
      <w:pPr>
        <w:spacing w:line="240" w:lineRule="auto"/>
        <w:jc w:val="right"/>
        <w:rPr>
          <w:rFonts w:ascii="Book Antiqua" w:hAnsi="Book Antiqua"/>
          <w:b/>
          <w:bCs/>
          <w:sz w:val="22"/>
        </w:rPr>
      </w:pPr>
      <w:r w:rsidRPr="00FA6B55">
        <w:rPr>
          <w:rFonts w:ascii="Book Antiqua" w:hAnsi="Book Antiqua"/>
          <w:b/>
          <w:bCs/>
          <w:sz w:val="22"/>
        </w:rPr>
        <w:t>Roma</w:t>
      </w:r>
      <w:r>
        <w:rPr>
          <w:rFonts w:ascii="Book Antiqua" w:hAnsi="Book Antiqua"/>
          <w:b/>
          <w:bCs/>
          <w:sz w:val="22"/>
        </w:rPr>
        <w:t xml:space="preserve">, il </w:t>
      </w:r>
      <w:r w:rsidRPr="00FA6B55">
        <w:rPr>
          <w:rFonts w:ascii="Book Antiqua" w:hAnsi="Book Antiqua"/>
          <w:b/>
          <w:bCs/>
          <w:sz w:val="22"/>
        </w:rPr>
        <w:t xml:space="preserve"> </w:t>
      </w:r>
      <w:r w:rsidR="00120C3E">
        <w:rPr>
          <w:rFonts w:ascii="Book Antiqua" w:hAnsi="Book Antiqua"/>
          <w:b/>
          <w:bCs/>
          <w:sz w:val="22"/>
        </w:rPr>
        <w:t>20 maggio 2024</w:t>
      </w:r>
    </w:p>
    <w:p w14:paraId="76E9FAF8" w14:textId="77777777" w:rsidR="00FA6B55" w:rsidRPr="00FA6B55" w:rsidRDefault="00FA6B55" w:rsidP="00FA6B55">
      <w:pPr>
        <w:spacing w:after="0" w:line="240" w:lineRule="auto"/>
        <w:jc w:val="right"/>
        <w:rPr>
          <w:rFonts w:ascii="Book Antiqua" w:hAnsi="Book Antiqua"/>
          <w:sz w:val="22"/>
        </w:rPr>
      </w:pPr>
    </w:p>
    <w:p w14:paraId="110B3364" w14:textId="77777777" w:rsidR="00FA6B55" w:rsidRDefault="00FA6B55" w:rsidP="00FA6B55">
      <w:pPr>
        <w:spacing w:after="0" w:line="240" w:lineRule="auto"/>
        <w:jc w:val="right"/>
        <w:rPr>
          <w:rFonts w:ascii="Book Antiqua" w:hAnsi="Book Antiqua"/>
          <w:sz w:val="22"/>
        </w:rPr>
      </w:pPr>
    </w:p>
    <w:p w14:paraId="35821D84" w14:textId="77777777" w:rsidR="005B58FA" w:rsidRDefault="005B58FA" w:rsidP="00FA6B55">
      <w:pPr>
        <w:spacing w:after="0" w:line="240" w:lineRule="auto"/>
        <w:jc w:val="right"/>
        <w:rPr>
          <w:rFonts w:ascii="Book Antiqua" w:hAnsi="Book Antiqua"/>
          <w:sz w:val="22"/>
        </w:rPr>
      </w:pPr>
    </w:p>
    <w:p w14:paraId="017B0D93" w14:textId="77777777" w:rsidR="005B58FA" w:rsidRDefault="005B58FA" w:rsidP="00FA6B55">
      <w:pPr>
        <w:spacing w:after="0" w:line="240" w:lineRule="auto"/>
        <w:jc w:val="right"/>
        <w:rPr>
          <w:rFonts w:ascii="Book Antiqua" w:hAnsi="Book Antiqua"/>
          <w:sz w:val="22"/>
        </w:rPr>
      </w:pPr>
    </w:p>
    <w:p w14:paraId="538191B4" w14:textId="77777777" w:rsidR="005B58FA" w:rsidRDefault="005B58FA" w:rsidP="00FA6B55">
      <w:pPr>
        <w:spacing w:after="0" w:line="240" w:lineRule="auto"/>
        <w:jc w:val="right"/>
        <w:rPr>
          <w:rFonts w:ascii="Book Antiqua" w:hAnsi="Book Antiqua"/>
          <w:sz w:val="22"/>
        </w:rPr>
      </w:pPr>
    </w:p>
    <w:p w14:paraId="4BBAF12E" w14:textId="77777777" w:rsidR="005B58FA" w:rsidRDefault="005B58FA" w:rsidP="00FA6B55">
      <w:pPr>
        <w:spacing w:after="0" w:line="240" w:lineRule="auto"/>
        <w:jc w:val="right"/>
        <w:rPr>
          <w:rFonts w:ascii="Book Antiqua" w:hAnsi="Book Antiqua"/>
          <w:sz w:val="22"/>
        </w:rPr>
      </w:pPr>
    </w:p>
    <w:p w14:paraId="28DFCA44" w14:textId="77777777" w:rsidR="005B58FA" w:rsidRDefault="005B58FA" w:rsidP="00FA6B55">
      <w:pPr>
        <w:spacing w:after="0" w:line="240" w:lineRule="auto"/>
        <w:jc w:val="right"/>
        <w:rPr>
          <w:rFonts w:ascii="Book Antiqua" w:hAnsi="Book Antiqua"/>
          <w:sz w:val="22"/>
        </w:rPr>
      </w:pPr>
    </w:p>
    <w:p w14:paraId="61D15951" w14:textId="77777777" w:rsidR="005B58FA" w:rsidRDefault="005B58FA" w:rsidP="00FA6B55">
      <w:pPr>
        <w:spacing w:after="0" w:line="240" w:lineRule="auto"/>
        <w:jc w:val="right"/>
        <w:rPr>
          <w:rFonts w:ascii="Book Antiqua" w:hAnsi="Book Antiqua"/>
          <w:sz w:val="22"/>
        </w:rPr>
      </w:pPr>
    </w:p>
    <w:p w14:paraId="6D0BDE04" w14:textId="77777777" w:rsidR="005B58FA" w:rsidRDefault="005B58FA" w:rsidP="00FA6B55">
      <w:pPr>
        <w:spacing w:after="0" w:line="240" w:lineRule="auto"/>
        <w:jc w:val="right"/>
        <w:rPr>
          <w:rFonts w:ascii="Book Antiqua" w:hAnsi="Book Antiqua"/>
          <w:sz w:val="22"/>
        </w:rPr>
      </w:pPr>
    </w:p>
    <w:p w14:paraId="7762BD6F" w14:textId="77777777" w:rsidR="005B58FA" w:rsidRDefault="005B58FA" w:rsidP="00FA6B55">
      <w:pPr>
        <w:spacing w:after="0" w:line="240" w:lineRule="auto"/>
        <w:jc w:val="right"/>
        <w:rPr>
          <w:rFonts w:ascii="Book Antiqua" w:hAnsi="Book Antiqua"/>
          <w:sz w:val="22"/>
        </w:rPr>
      </w:pPr>
    </w:p>
    <w:p w14:paraId="7CCFF084" w14:textId="77777777" w:rsidR="005B58FA" w:rsidRPr="00FA6B55" w:rsidRDefault="005B58FA" w:rsidP="00FA6B55">
      <w:pPr>
        <w:spacing w:after="0" w:line="240" w:lineRule="auto"/>
        <w:jc w:val="right"/>
        <w:rPr>
          <w:rFonts w:ascii="Book Antiqua" w:hAnsi="Book Antiqua"/>
          <w:sz w:val="22"/>
        </w:rPr>
      </w:pPr>
    </w:p>
    <w:p w14:paraId="46EAC8E0" w14:textId="77777777" w:rsidR="00FA6B55" w:rsidRPr="00FA6B55" w:rsidRDefault="00FA6B55" w:rsidP="00FA6B55">
      <w:pPr>
        <w:spacing w:after="0" w:line="240" w:lineRule="auto"/>
        <w:jc w:val="right"/>
        <w:rPr>
          <w:rFonts w:ascii="Book Antiqua" w:hAnsi="Book Antiqua"/>
          <w:sz w:val="22"/>
        </w:rPr>
      </w:pPr>
    </w:p>
    <w:p w14:paraId="2FF50B3B" w14:textId="32BC249A" w:rsidR="00FA6B55" w:rsidRPr="004E3B0E" w:rsidRDefault="00120C3E" w:rsidP="00FA6B55">
      <w:pPr>
        <w:spacing w:after="0" w:line="240" w:lineRule="auto"/>
        <w:jc w:val="right"/>
        <w:rPr>
          <w:rFonts w:ascii="Book Antiqua" w:hAnsi="Book Antiqua"/>
          <w:sz w:val="20"/>
        </w:rPr>
      </w:pPr>
      <w:r>
        <w:rPr>
          <w:rFonts w:ascii="Book Antiqua" w:hAnsi="Book Antiqua"/>
          <w:sz w:val="20"/>
        </w:rPr>
        <w:t>Luca</w:t>
      </w:r>
      <w:r w:rsidR="00FA6B55" w:rsidRPr="004E3B0E">
        <w:rPr>
          <w:rFonts w:ascii="Book Antiqua" w:hAnsi="Book Antiqua"/>
          <w:sz w:val="20"/>
        </w:rPr>
        <w:t xml:space="preserve"> D</w:t>
      </w:r>
      <w:r>
        <w:rPr>
          <w:rFonts w:ascii="Book Antiqua" w:hAnsi="Book Antiqua"/>
          <w:sz w:val="20"/>
        </w:rPr>
        <w:t>ELLA RAGIONE</w:t>
      </w:r>
    </w:p>
    <w:p w14:paraId="2F1308E8" w14:textId="77777777" w:rsidR="00120C3E" w:rsidRDefault="00120C3E" w:rsidP="00FA6B55">
      <w:pPr>
        <w:spacing w:after="0" w:line="240" w:lineRule="auto"/>
        <w:jc w:val="right"/>
        <w:rPr>
          <w:rFonts w:ascii="Book Antiqua" w:hAnsi="Book Antiqua"/>
          <w:sz w:val="20"/>
        </w:rPr>
      </w:pPr>
      <w:r>
        <w:rPr>
          <w:rFonts w:ascii="Book Antiqua" w:hAnsi="Book Antiqua"/>
          <w:sz w:val="20"/>
        </w:rPr>
        <w:t>Giudice per le indagini preliminari del Tribunale di Napoli</w:t>
      </w:r>
    </w:p>
    <w:p w14:paraId="487BA490" w14:textId="4123928A" w:rsidR="00456E2B" w:rsidRPr="004E3B0E" w:rsidRDefault="00120C3E" w:rsidP="00FA6B55">
      <w:pPr>
        <w:spacing w:after="0" w:line="240" w:lineRule="auto"/>
        <w:jc w:val="right"/>
        <w:rPr>
          <w:rFonts w:ascii="Book Antiqua" w:hAnsi="Book Antiqua"/>
          <w:sz w:val="20"/>
        </w:rPr>
      </w:pPr>
      <w:r>
        <w:rPr>
          <w:rFonts w:ascii="Book Antiqua" w:hAnsi="Book Antiqua"/>
          <w:sz w:val="20"/>
        </w:rPr>
        <w:t>Dottore di ricerca in diritto penale alla “Federico II” di Napoli</w:t>
      </w:r>
      <w:r w:rsidR="00456E2B">
        <w:rPr>
          <w:rFonts w:ascii="Book Antiqua" w:hAnsi="Book Antiqua"/>
          <w:sz w:val="20"/>
        </w:rPr>
        <w:t xml:space="preserve"> </w:t>
      </w:r>
    </w:p>
    <w:p w14:paraId="064A1331" w14:textId="7C196A48" w:rsidR="00012AC1" w:rsidRPr="00120C3E" w:rsidRDefault="00FA6B55" w:rsidP="00120C3E">
      <w:pPr>
        <w:suppressAutoHyphens w:val="0"/>
        <w:spacing w:line="240" w:lineRule="auto"/>
        <w:rPr>
          <w:rFonts w:ascii="Book Antiqua" w:hAnsi="Book Antiqua"/>
          <w:sz w:val="28"/>
        </w:rPr>
      </w:pPr>
      <w:r w:rsidRPr="00FA6B55">
        <w:rPr>
          <w:rFonts w:ascii="Book Antiqua" w:hAnsi="Book Antiqua"/>
          <w:sz w:val="28"/>
        </w:rPr>
        <w:br w:type="page"/>
      </w:r>
    </w:p>
    <w:p w14:paraId="64E25762" w14:textId="25032FB6" w:rsidR="00012AC1" w:rsidRPr="00CA7A64" w:rsidRDefault="00012AC1" w:rsidP="00CA7A64">
      <w:pPr>
        <w:pStyle w:val="Titolo1"/>
        <w:spacing w:before="0"/>
        <w:rPr>
          <w:rFonts w:ascii="Book Antiqua" w:hAnsi="Book Antiqua"/>
          <w:sz w:val="22"/>
          <w:szCs w:val="22"/>
        </w:rPr>
      </w:pPr>
      <w:bookmarkStart w:id="1" w:name="_Toc145265020"/>
      <w:r w:rsidRPr="00CA7A64">
        <w:rPr>
          <w:rFonts w:ascii="Book Antiqua" w:hAnsi="Book Antiqua"/>
          <w:sz w:val="22"/>
          <w:szCs w:val="22"/>
        </w:rPr>
        <w:lastRenderedPageBreak/>
        <w:t>Introduzione</w:t>
      </w:r>
      <w:bookmarkEnd w:id="1"/>
    </w:p>
    <w:p w14:paraId="458ADC05" w14:textId="77777777" w:rsidR="00012AC1" w:rsidRPr="00CA7A64" w:rsidRDefault="00012AC1" w:rsidP="00CA7A64">
      <w:pPr>
        <w:suppressAutoHyphens w:val="0"/>
        <w:spacing w:after="0" w:line="240" w:lineRule="auto"/>
        <w:rPr>
          <w:rFonts w:ascii="Book Antiqua" w:hAnsi="Book Antiqua"/>
          <w:b/>
          <w:bCs/>
          <w:sz w:val="22"/>
          <w:szCs w:val="22"/>
        </w:rPr>
      </w:pPr>
    </w:p>
    <w:p w14:paraId="4B8F33BD" w14:textId="75ABB5CF" w:rsidR="00FA6B55" w:rsidRPr="00CA7A64" w:rsidRDefault="00FA6B55" w:rsidP="00CA7A64">
      <w:pPr>
        <w:suppressAutoHyphens w:val="0"/>
        <w:spacing w:after="0" w:line="240" w:lineRule="auto"/>
        <w:rPr>
          <w:rFonts w:ascii="Book Antiqua" w:hAnsi="Book Antiqua"/>
          <w:b/>
          <w:bCs/>
          <w:sz w:val="22"/>
          <w:szCs w:val="22"/>
        </w:rPr>
      </w:pPr>
      <w:r w:rsidRPr="00CA7A64">
        <w:rPr>
          <w:rFonts w:ascii="Book Antiqua" w:hAnsi="Book Antiqua"/>
          <w:b/>
          <w:bCs/>
          <w:sz w:val="22"/>
          <w:szCs w:val="22"/>
        </w:rPr>
        <w:t>Signor</w:t>
      </w:r>
      <w:r w:rsidR="00120C3E">
        <w:rPr>
          <w:rFonts w:ascii="Book Antiqua" w:hAnsi="Book Antiqua"/>
          <w:b/>
          <w:bCs/>
          <w:sz w:val="22"/>
          <w:szCs w:val="22"/>
        </w:rPr>
        <w:t>i</w:t>
      </w:r>
      <w:r w:rsidRPr="00CA7A64">
        <w:rPr>
          <w:rFonts w:ascii="Book Antiqua" w:hAnsi="Book Antiqua"/>
          <w:b/>
          <w:bCs/>
          <w:sz w:val="22"/>
          <w:szCs w:val="22"/>
        </w:rPr>
        <w:t xml:space="preserve"> President</w:t>
      </w:r>
      <w:r w:rsidR="00120C3E">
        <w:rPr>
          <w:rFonts w:ascii="Book Antiqua" w:hAnsi="Book Antiqua"/>
          <w:b/>
          <w:bCs/>
          <w:sz w:val="22"/>
          <w:szCs w:val="22"/>
        </w:rPr>
        <w:t>i</w:t>
      </w:r>
      <w:r w:rsidRPr="00CA7A64">
        <w:rPr>
          <w:rFonts w:ascii="Book Antiqua" w:hAnsi="Book Antiqua"/>
          <w:b/>
          <w:bCs/>
          <w:sz w:val="22"/>
          <w:szCs w:val="22"/>
        </w:rPr>
        <w:t>,</w:t>
      </w:r>
    </w:p>
    <w:p w14:paraId="236F10DD" w14:textId="1E286AD4" w:rsidR="00FA6B55" w:rsidRPr="00CA7A64" w:rsidRDefault="00FA6B55" w:rsidP="00CA7A64">
      <w:pPr>
        <w:suppressAutoHyphens w:val="0"/>
        <w:spacing w:after="0" w:line="240" w:lineRule="auto"/>
        <w:rPr>
          <w:rFonts w:ascii="Book Antiqua" w:hAnsi="Book Antiqua"/>
          <w:b/>
          <w:bCs/>
          <w:sz w:val="22"/>
          <w:szCs w:val="22"/>
        </w:rPr>
      </w:pPr>
      <w:r w:rsidRPr="00CA7A64">
        <w:rPr>
          <w:rFonts w:ascii="Book Antiqua" w:hAnsi="Book Antiqua"/>
          <w:b/>
          <w:bCs/>
          <w:sz w:val="22"/>
          <w:szCs w:val="22"/>
        </w:rPr>
        <w:t xml:space="preserve">Sigg. </w:t>
      </w:r>
      <w:r w:rsidR="00120C3E">
        <w:rPr>
          <w:rFonts w:ascii="Book Antiqua" w:hAnsi="Book Antiqua"/>
          <w:b/>
          <w:bCs/>
          <w:sz w:val="22"/>
          <w:szCs w:val="22"/>
        </w:rPr>
        <w:t>Deputati</w:t>
      </w:r>
      <w:r w:rsidRPr="00CA7A64">
        <w:rPr>
          <w:rFonts w:ascii="Book Antiqua" w:hAnsi="Book Antiqua"/>
          <w:b/>
          <w:bCs/>
          <w:sz w:val="22"/>
          <w:szCs w:val="22"/>
        </w:rPr>
        <w:t>,</w:t>
      </w:r>
    </w:p>
    <w:p w14:paraId="039CAD44" w14:textId="0DA30BE9" w:rsidR="007905EC" w:rsidRPr="00CA7A64" w:rsidRDefault="00FA6B55" w:rsidP="00CA7A64">
      <w:pPr>
        <w:suppressAutoHyphens w:val="0"/>
        <w:spacing w:after="0" w:line="240" w:lineRule="auto"/>
        <w:jc w:val="both"/>
        <w:rPr>
          <w:rFonts w:ascii="Book Antiqua" w:hAnsi="Book Antiqua"/>
          <w:sz w:val="22"/>
          <w:szCs w:val="22"/>
        </w:rPr>
      </w:pPr>
      <w:r w:rsidRPr="00CA7A64">
        <w:rPr>
          <w:rFonts w:ascii="Book Antiqua" w:hAnsi="Book Antiqua"/>
          <w:sz w:val="22"/>
          <w:szCs w:val="22"/>
        </w:rPr>
        <w:t>desidero, anzitutto, esprimere il mio ringraziamento per il metodo partecipato presce</w:t>
      </w:r>
      <w:r w:rsidRPr="00CA7A64">
        <w:rPr>
          <w:rFonts w:ascii="Book Antiqua" w:hAnsi="Book Antiqua"/>
          <w:sz w:val="22"/>
          <w:szCs w:val="22"/>
        </w:rPr>
        <w:t>l</w:t>
      </w:r>
      <w:r w:rsidRPr="00CA7A64">
        <w:rPr>
          <w:rFonts w:ascii="Book Antiqua" w:hAnsi="Book Antiqua"/>
          <w:sz w:val="22"/>
          <w:szCs w:val="22"/>
        </w:rPr>
        <w:t>to</w:t>
      </w:r>
      <w:r w:rsidR="004E3B0E" w:rsidRPr="00CA7A64">
        <w:rPr>
          <w:rFonts w:ascii="Book Antiqua" w:hAnsi="Book Antiqua"/>
          <w:sz w:val="22"/>
          <w:szCs w:val="22"/>
        </w:rPr>
        <w:t xml:space="preserve"> ai fini </w:t>
      </w:r>
      <w:r w:rsidRPr="00CA7A64">
        <w:rPr>
          <w:rFonts w:ascii="Book Antiqua" w:hAnsi="Book Antiqua"/>
          <w:sz w:val="22"/>
          <w:szCs w:val="22"/>
        </w:rPr>
        <w:t xml:space="preserve"> </w:t>
      </w:r>
      <w:r w:rsidR="004E3B0E" w:rsidRPr="00CA7A64">
        <w:rPr>
          <w:rFonts w:ascii="Book Antiqua" w:hAnsi="Book Antiqua"/>
          <w:sz w:val="22"/>
          <w:szCs w:val="22"/>
        </w:rPr>
        <w:t>del</w:t>
      </w:r>
      <w:r w:rsidRPr="00CA7A64">
        <w:rPr>
          <w:rFonts w:ascii="Book Antiqua" w:hAnsi="Book Antiqua"/>
          <w:sz w:val="22"/>
          <w:szCs w:val="22"/>
        </w:rPr>
        <w:t>l’alimentazione del dibattito parlamentare</w:t>
      </w:r>
      <w:r w:rsidR="00156289" w:rsidRPr="00CA7A64">
        <w:rPr>
          <w:rFonts w:ascii="Book Antiqua" w:hAnsi="Book Antiqua"/>
          <w:sz w:val="22"/>
          <w:szCs w:val="22"/>
        </w:rPr>
        <w:t xml:space="preserve">  -che evidentemente si vuole nutrire di più voci, di divers</w:t>
      </w:r>
      <w:r w:rsidR="007905EC" w:rsidRPr="00CA7A64">
        <w:rPr>
          <w:rFonts w:ascii="Book Antiqua" w:hAnsi="Book Antiqua"/>
          <w:sz w:val="22"/>
          <w:szCs w:val="22"/>
        </w:rPr>
        <w:t>e</w:t>
      </w:r>
      <w:r w:rsidR="00156289" w:rsidRPr="00CA7A64">
        <w:rPr>
          <w:rFonts w:ascii="Book Antiqua" w:hAnsi="Book Antiqua"/>
          <w:sz w:val="22"/>
          <w:szCs w:val="22"/>
        </w:rPr>
        <w:t xml:space="preserve"> professionalità ed esperienze</w:t>
      </w:r>
      <w:r w:rsidR="00120C3E">
        <w:rPr>
          <w:rFonts w:ascii="Book Antiqua" w:hAnsi="Book Antiqua"/>
          <w:sz w:val="22"/>
          <w:szCs w:val="22"/>
        </w:rPr>
        <w:t xml:space="preserve"> </w:t>
      </w:r>
      <w:r w:rsidR="00156289" w:rsidRPr="00CA7A64">
        <w:rPr>
          <w:rFonts w:ascii="Book Antiqua" w:hAnsi="Book Antiqua"/>
          <w:sz w:val="22"/>
          <w:szCs w:val="22"/>
        </w:rPr>
        <w:t xml:space="preserve">- </w:t>
      </w:r>
      <w:r w:rsidR="004E3B0E" w:rsidRPr="00CA7A64">
        <w:rPr>
          <w:rFonts w:ascii="Book Antiqua" w:hAnsi="Book Antiqua"/>
          <w:sz w:val="22"/>
          <w:szCs w:val="22"/>
        </w:rPr>
        <w:t xml:space="preserve"> </w:t>
      </w:r>
      <w:r w:rsidR="00156289" w:rsidRPr="00CA7A64">
        <w:rPr>
          <w:rFonts w:ascii="Book Antiqua" w:hAnsi="Book Antiqua"/>
          <w:sz w:val="22"/>
          <w:szCs w:val="22"/>
        </w:rPr>
        <w:t xml:space="preserve"> </w:t>
      </w:r>
      <w:r w:rsidR="004E3B0E" w:rsidRPr="00CA7A64">
        <w:rPr>
          <w:rFonts w:ascii="Book Antiqua" w:hAnsi="Book Antiqua"/>
          <w:sz w:val="22"/>
          <w:szCs w:val="22"/>
        </w:rPr>
        <w:t xml:space="preserve">sul </w:t>
      </w:r>
      <w:proofErr w:type="spellStart"/>
      <w:r w:rsidR="004E3B0E" w:rsidRPr="00CA7A64">
        <w:rPr>
          <w:rFonts w:ascii="Book Antiqua" w:hAnsi="Book Antiqua"/>
          <w:sz w:val="22"/>
          <w:szCs w:val="22"/>
        </w:rPr>
        <w:t>ddl</w:t>
      </w:r>
      <w:proofErr w:type="spellEnd"/>
      <w:r w:rsidR="004E3B0E" w:rsidRPr="00CA7A64">
        <w:rPr>
          <w:rFonts w:ascii="Book Antiqua" w:hAnsi="Book Antiqua"/>
          <w:sz w:val="22"/>
          <w:szCs w:val="22"/>
        </w:rPr>
        <w:t xml:space="preserve"> </w:t>
      </w:r>
      <w:r w:rsidR="00120C3E">
        <w:rPr>
          <w:rFonts w:ascii="Book Antiqua" w:hAnsi="Book Antiqua"/>
          <w:sz w:val="22"/>
          <w:szCs w:val="22"/>
        </w:rPr>
        <w:t xml:space="preserve">C. 1660, </w:t>
      </w:r>
      <w:r w:rsidRPr="00CA7A64">
        <w:rPr>
          <w:rFonts w:ascii="Book Antiqua" w:hAnsi="Book Antiqua"/>
          <w:sz w:val="22"/>
          <w:szCs w:val="22"/>
        </w:rPr>
        <w:t>volto ad apportare significative</w:t>
      </w:r>
      <w:r w:rsidR="00135BC1" w:rsidRPr="00CA7A64">
        <w:rPr>
          <w:rFonts w:ascii="Book Antiqua" w:hAnsi="Book Antiqua"/>
          <w:sz w:val="22"/>
          <w:szCs w:val="22"/>
        </w:rPr>
        <w:t xml:space="preserve"> </w:t>
      </w:r>
      <w:r w:rsidRPr="00CA7A64">
        <w:rPr>
          <w:rFonts w:ascii="Book Antiqua" w:hAnsi="Book Antiqua"/>
          <w:sz w:val="22"/>
          <w:szCs w:val="22"/>
        </w:rPr>
        <w:t xml:space="preserve">innovazioni </w:t>
      </w:r>
      <w:r w:rsidR="00120C3E" w:rsidRPr="00120C3E">
        <w:rPr>
          <w:rFonts w:ascii="Book Antiqua" w:hAnsi="Book Antiqua"/>
          <w:b/>
          <w:bCs/>
          <w:i/>
          <w:sz w:val="22"/>
          <w:szCs w:val="22"/>
        </w:rPr>
        <w:t xml:space="preserve">in </w:t>
      </w:r>
      <w:r w:rsidR="00120C3E" w:rsidRPr="00120C3E">
        <w:rPr>
          <w:rFonts w:ascii="Book Antiqua" w:hAnsi="Book Antiqua"/>
          <w:sz w:val="22"/>
          <w:szCs w:val="22"/>
        </w:rPr>
        <w:t>materia di sicurezza pubblica, di tutela del pe</w:t>
      </w:r>
      <w:r w:rsidR="00120C3E" w:rsidRPr="00120C3E">
        <w:rPr>
          <w:rFonts w:ascii="Book Antiqua" w:hAnsi="Book Antiqua"/>
          <w:sz w:val="22"/>
          <w:szCs w:val="22"/>
        </w:rPr>
        <w:t>r</w:t>
      </w:r>
      <w:r w:rsidR="00120C3E" w:rsidRPr="00120C3E">
        <w:rPr>
          <w:rFonts w:ascii="Book Antiqua" w:hAnsi="Book Antiqua"/>
          <w:sz w:val="22"/>
          <w:szCs w:val="22"/>
        </w:rPr>
        <w:t>sonale in servizio, nonché di vittime dell'usura e di ordinamento penitenziario</w:t>
      </w:r>
      <w:r w:rsidR="007905EC" w:rsidRPr="00CA7A64">
        <w:rPr>
          <w:rFonts w:ascii="Book Antiqua" w:hAnsi="Book Antiqua"/>
          <w:sz w:val="22"/>
          <w:szCs w:val="22"/>
        </w:rPr>
        <w:t>.</w:t>
      </w:r>
    </w:p>
    <w:p w14:paraId="34229282" w14:textId="50C0C2FE" w:rsidR="00FA6B55" w:rsidRDefault="007905EC" w:rsidP="00CA7A64">
      <w:pPr>
        <w:suppressAutoHyphens w:val="0"/>
        <w:spacing w:after="0" w:line="240" w:lineRule="auto"/>
        <w:jc w:val="both"/>
        <w:rPr>
          <w:rFonts w:ascii="Book Antiqua" w:hAnsi="Book Antiqua"/>
          <w:sz w:val="22"/>
          <w:szCs w:val="22"/>
        </w:rPr>
      </w:pPr>
      <w:r w:rsidRPr="00CA7A64">
        <w:rPr>
          <w:rFonts w:ascii="Book Antiqua" w:hAnsi="Book Antiqua"/>
          <w:sz w:val="22"/>
          <w:szCs w:val="22"/>
        </w:rPr>
        <w:t xml:space="preserve">Provo a </w:t>
      </w:r>
      <w:r w:rsidR="00FA6B55" w:rsidRPr="00CA7A64">
        <w:rPr>
          <w:rFonts w:ascii="Book Antiqua" w:hAnsi="Book Antiqua"/>
          <w:sz w:val="22"/>
          <w:szCs w:val="22"/>
        </w:rPr>
        <w:t xml:space="preserve">dare un contributo </w:t>
      </w:r>
      <w:r w:rsidR="00076641" w:rsidRPr="00CA7A64">
        <w:rPr>
          <w:rFonts w:ascii="Book Antiqua" w:hAnsi="Book Antiqua"/>
          <w:sz w:val="22"/>
          <w:szCs w:val="22"/>
        </w:rPr>
        <w:t xml:space="preserve">alla </w:t>
      </w:r>
      <w:r w:rsidR="00FA6B55" w:rsidRPr="00CA7A64">
        <w:rPr>
          <w:rFonts w:ascii="Book Antiqua" w:hAnsi="Book Antiqua"/>
          <w:sz w:val="22"/>
          <w:szCs w:val="22"/>
        </w:rPr>
        <w:t>riflessione</w:t>
      </w:r>
      <w:r w:rsidR="00076641" w:rsidRPr="00CA7A64">
        <w:rPr>
          <w:rFonts w:ascii="Book Antiqua" w:hAnsi="Book Antiqua"/>
          <w:sz w:val="22"/>
          <w:szCs w:val="22"/>
        </w:rPr>
        <w:t xml:space="preserve"> in atto</w:t>
      </w:r>
      <w:r w:rsidR="00FA6B55" w:rsidRPr="00CA7A64">
        <w:rPr>
          <w:rFonts w:ascii="Book Antiqua" w:hAnsi="Book Antiqua"/>
          <w:sz w:val="22"/>
          <w:szCs w:val="22"/>
        </w:rPr>
        <w:t xml:space="preserve">, </w:t>
      </w:r>
      <w:r w:rsidR="004E3B0E" w:rsidRPr="00CA7A64">
        <w:rPr>
          <w:rFonts w:ascii="Book Antiqua" w:hAnsi="Book Antiqua"/>
          <w:sz w:val="22"/>
          <w:szCs w:val="22"/>
        </w:rPr>
        <w:t>avvalendomi de</w:t>
      </w:r>
      <w:r w:rsidR="00FA6B55" w:rsidRPr="00CA7A64">
        <w:rPr>
          <w:rFonts w:ascii="Book Antiqua" w:hAnsi="Book Antiqua"/>
          <w:sz w:val="22"/>
          <w:szCs w:val="22"/>
        </w:rPr>
        <w:t xml:space="preserve">l </w:t>
      </w:r>
      <w:r w:rsidR="00156289" w:rsidRPr="00CA7A64">
        <w:rPr>
          <w:rFonts w:ascii="Book Antiqua" w:hAnsi="Book Antiqua"/>
          <w:sz w:val="22"/>
          <w:szCs w:val="22"/>
        </w:rPr>
        <w:t>patrimonio acquis</w:t>
      </w:r>
      <w:r w:rsidR="00156289" w:rsidRPr="00CA7A64">
        <w:rPr>
          <w:rFonts w:ascii="Book Antiqua" w:hAnsi="Book Antiqua"/>
          <w:sz w:val="22"/>
          <w:szCs w:val="22"/>
        </w:rPr>
        <w:t>i</w:t>
      </w:r>
      <w:r w:rsidR="00156289" w:rsidRPr="00CA7A64">
        <w:rPr>
          <w:rFonts w:ascii="Book Antiqua" w:hAnsi="Book Antiqua"/>
          <w:sz w:val="22"/>
          <w:szCs w:val="22"/>
        </w:rPr>
        <w:t xml:space="preserve">to sia </w:t>
      </w:r>
      <w:r w:rsidR="00076641" w:rsidRPr="00CA7A64">
        <w:rPr>
          <w:rFonts w:ascii="Book Antiqua" w:hAnsi="Book Antiqua"/>
          <w:sz w:val="22"/>
          <w:szCs w:val="22"/>
        </w:rPr>
        <w:t>quale magistrato</w:t>
      </w:r>
      <w:r w:rsidR="00156289" w:rsidRPr="00CA7A64">
        <w:rPr>
          <w:rFonts w:ascii="Book Antiqua" w:hAnsi="Book Antiqua"/>
          <w:sz w:val="22"/>
          <w:szCs w:val="22"/>
        </w:rPr>
        <w:t xml:space="preserve">, sia </w:t>
      </w:r>
      <w:r w:rsidR="00120C3E">
        <w:rPr>
          <w:rFonts w:ascii="Book Antiqua" w:hAnsi="Book Antiqua"/>
          <w:sz w:val="22"/>
          <w:szCs w:val="22"/>
        </w:rPr>
        <w:t>dottore di ricerca in diritto penale della “Federico II”</w:t>
      </w:r>
      <w:r w:rsidR="00156289" w:rsidRPr="00CA7A64">
        <w:rPr>
          <w:rFonts w:ascii="Book Antiqua" w:hAnsi="Book Antiqua"/>
          <w:sz w:val="22"/>
          <w:szCs w:val="22"/>
        </w:rPr>
        <w:t xml:space="preserve">. </w:t>
      </w:r>
      <w:r w:rsidR="00FA6B55" w:rsidRPr="00CA7A64">
        <w:rPr>
          <w:rFonts w:ascii="Book Antiqua" w:hAnsi="Book Antiqua"/>
          <w:sz w:val="22"/>
          <w:szCs w:val="22"/>
        </w:rPr>
        <w:t xml:space="preserve"> </w:t>
      </w:r>
    </w:p>
    <w:p w14:paraId="38B8D355" w14:textId="77777777" w:rsidR="00AA2B76" w:rsidRPr="006559B6" w:rsidRDefault="00AA2B76" w:rsidP="00CA7A64">
      <w:pPr>
        <w:suppressAutoHyphens w:val="0"/>
        <w:spacing w:after="0" w:line="240" w:lineRule="auto"/>
        <w:jc w:val="both"/>
        <w:rPr>
          <w:rFonts w:ascii="Book Antiqua" w:hAnsi="Book Antiqua"/>
          <w:sz w:val="22"/>
          <w:szCs w:val="22"/>
        </w:rPr>
      </w:pPr>
    </w:p>
    <w:p w14:paraId="20C86B8F" w14:textId="633DB0E0" w:rsidR="008A585C" w:rsidRDefault="00FA6B55" w:rsidP="006559B6">
      <w:pPr>
        <w:pStyle w:val="Titolo1"/>
        <w:spacing w:before="0" w:line="240" w:lineRule="auto"/>
        <w:jc w:val="both"/>
        <w:rPr>
          <w:rFonts w:ascii="Book Antiqua" w:hAnsi="Book Antiqua"/>
          <w:color w:val="auto"/>
          <w:sz w:val="22"/>
          <w:szCs w:val="22"/>
        </w:rPr>
      </w:pPr>
      <w:bookmarkStart w:id="2" w:name="_Toc145265021"/>
      <w:r w:rsidRPr="00387B82">
        <w:rPr>
          <w:rFonts w:ascii="Book Antiqua" w:hAnsi="Book Antiqua"/>
          <w:b/>
          <w:color w:val="auto"/>
          <w:sz w:val="22"/>
          <w:szCs w:val="22"/>
        </w:rPr>
        <w:t>1</w:t>
      </w:r>
      <w:r w:rsidRPr="00387B82">
        <w:rPr>
          <w:rFonts w:ascii="Book Antiqua" w:hAnsi="Book Antiqua"/>
          <w:b/>
          <w:i/>
          <w:iCs/>
          <w:color w:val="auto"/>
          <w:sz w:val="22"/>
          <w:szCs w:val="22"/>
        </w:rPr>
        <w:t>.</w:t>
      </w:r>
      <w:r w:rsidRPr="00387B82">
        <w:rPr>
          <w:rFonts w:ascii="Book Antiqua" w:hAnsi="Book Antiqua"/>
          <w:b/>
          <w:bCs/>
          <w:color w:val="auto"/>
          <w:sz w:val="22"/>
          <w:szCs w:val="22"/>
        </w:rPr>
        <w:t> </w:t>
      </w:r>
      <w:bookmarkEnd w:id="2"/>
      <w:r w:rsidR="006559B6" w:rsidRPr="00387B82">
        <w:rPr>
          <w:rFonts w:ascii="Book Antiqua" w:hAnsi="Book Antiqua"/>
          <w:b/>
          <w:color w:val="auto"/>
          <w:sz w:val="22"/>
          <w:szCs w:val="22"/>
        </w:rPr>
        <w:t>A</w:t>
      </w:r>
      <w:r w:rsidR="0092761F" w:rsidRPr="00387B82">
        <w:rPr>
          <w:rFonts w:ascii="Book Antiqua" w:hAnsi="Book Antiqua"/>
          <w:b/>
          <w:color w:val="auto"/>
          <w:sz w:val="22"/>
          <w:szCs w:val="22"/>
        </w:rPr>
        <w:t xml:space="preserve">rticolo </w:t>
      </w:r>
      <w:r w:rsidR="00CF38D1" w:rsidRPr="00387B82">
        <w:rPr>
          <w:rFonts w:ascii="Book Antiqua" w:hAnsi="Book Antiqua"/>
          <w:b/>
          <w:color w:val="auto"/>
          <w:sz w:val="22"/>
          <w:szCs w:val="22"/>
        </w:rPr>
        <w:t xml:space="preserve">1 </w:t>
      </w:r>
      <w:r w:rsidR="008A585C" w:rsidRPr="00387B82">
        <w:rPr>
          <w:rFonts w:ascii="Book Antiqua" w:hAnsi="Book Antiqua"/>
          <w:b/>
          <w:color w:val="auto"/>
          <w:sz w:val="22"/>
          <w:szCs w:val="22"/>
        </w:rPr>
        <w:t xml:space="preserve">- </w:t>
      </w:r>
      <w:r w:rsidR="0092761F" w:rsidRPr="00387B82">
        <w:rPr>
          <w:rFonts w:ascii="Book Antiqua" w:hAnsi="Book Antiqua"/>
          <w:b/>
          <w:color w:val="auto"/>
          <w:sz w:val="22"/>
          <w:szCs w:val="22"/>
        </w:rPr>
        <w:t>Modifiche al codice penale in materia di delitti con finalità di terrorismo e contro l’incolumità pubblica</w:t>
      </w:r>
      <w:r w:rsidR="008A585C">
        <w:rPr>
          <w:rFonts w:ascii="Book Antiqua" w:hAnsi="Book Antiqua"/>
          <w:color w:val="auto"/>
          <w:sz w:val="22"/>
          <w:szCs w:val="22"/>
        </w:rPr>
        <w:t xml:space="preserve">. </w:t>
      </w:r>
    </w:p>
    <w:p w14:paraId="48882240" w14:textId="77777777" w:rsidR="006F2FF2" w:rsidRDefault="006F2FF2" w:rsidP="006559B6">
      <w:pPr>
        <w:pStyle w:val="Titolo1"/>
        <w:spacing w:before="0" w:line="240" w:lineRule="auto"/>
        <w:jc w:val="both"/>
        <w:rPr>
          <w:rFonts w:ascii="Book Antiqua" w:hAnsi="Book Antiqua"/>
          <w:color w:val="auto"/>
          <w:sz w:val="22"/>
          <w:szCs w:val="22"/>
        </w:rPr>
      </w:pPr>
    </w:p>
    <w:p w14:paraId="20A566B3" w14:textId="77777777" w:rsidR="008A585C" w:rsidRDefault="008A585C" w:rsidP="006559B6">
      <w:pPr>
        <w:pStyle w:val="Titolo1"/>
        <w:spacing w:before="0" w:line="240" w:lineRule="auto"/>
        <w:jc w:val="both"/>
        <w:rPr>
          <w:rFonts w:ascii="Book Antiqua" w:hAnsi="Book Antiqua"/>
          <w:color w:val="auto"/>
          <w:sz w:val="22"/>
          <w:szCs w:val="22"/>
        </w:rPr>
      </w:pPr>
      <w:bookmarkStart w:id="3" w:name="_GoBack"/>
      <w:bookmarkEnd w:id="3"/>
      <w:r>
        <w:rPr>
          <w:rFonts w:ascii="Book Antiqua" w:hAnsi="Book Antiqua"/>
          <w:color w:val="auto"/>
          <w:sz w:val="22"/>
          <w:szCs w:val="22"/>
        </w:rPr>
        <w:t>V</w:t>
      </w:r>
      <w:r w:rsidR="0092761F" w:rsidRPr="006559B6">
        <w:rPr>
          <w:rFonts w:ascii="Book Antiqua" w:hAnsi="Book Antiqua"/>
          <w:color w:val="auto"/>
          <w:sz w:val="22"/>
          <w:szCs w:val="22"/>
        </w:rPr>
        <w:t>iene integrata la disciplina volta a rafforzare il contrasto al compimento di delitti con finalità di terrorismo e contro l’incolumità pubblica, rendendo punibili condotte propedeutiche alla commissione o preparazione di eventi altamente lesivi quali attentati e sabotaggi</w:t>
      </w:r>
      <w:r>
        <w:rPr>
          <w:rFonts w:ascii="Book Antiqua" w:hAnsi="Book Antiqua"/>
          <w:color w:val="auto"/>
          <w:sz w:val="22"/>
          <w:szCs w:val="22"/>
        </w:rPr>
        <w:t>, ritenute in quanto tali pericolose</w:t>
      </w:r>
      <w:r w:rsidR="0092761F" w:rsidRPr="006559B6">
        <w:rPr>
          <w:rFonts w:ascii="Book Antiqua" w:hAnsi="Book Antiqua"/>
          <w:color w:val="auto"/>
          <w:sz w:val="22"/>
          <w:szCs w:val="22"/>
        </w:rPr>
        <w:t xml:space="preserve">. </w:t>
      </w:r>
    </w:p>
    <w:p w14:paraId="3347F3F6" w14:textId="77777777" w:rsidR="008A585C" w:rsidRDefault="008A585C" w:rsidP="006559B6">
      <w:pPr>
        <w:pStyle w:val="Titolo1"/>
        <w:spacing w:before="0" w:line="240" w:lineRule="auto"/>
        <w:jc w:val="both"/>
        <w:rPr>
          <w:rFonts w:ascii="Book Antiqua" w:hAnsi="Book Antiqua"/>
          <w:color w:val="auto"/>
          <w:sz w:val="22"/>
          <w:szCs w:val="22"/>
        </w:rPr>
      </w:pPr>
    </w:p>
    <w:p w14:paraId="0A391FB1" w14:textId="77777777" w:rsidR="008A585C" w:rsidRDefault="008A585C" w:rsidP="006559B6">
      <w:pPr>
        <w:pStyle w:val="Titolo1"/>
        <w:spacing w:before="0" w:line="240" w:lineRule="auto"/>
        <w:jc w:val="both"/>
        <w:rPr>
          <w:rFonts w:ascii="Book Antiqua" w:hAnsi="Book Antiqua"/>
          <w:color w:val="auto"/>
          <w:sz w:val="22"/>
          <w:szCs w:val="22"/>
        </w:rPr>
      </w:pPr>
      <w:r>
        <w:rPr>
          <w:rFonts w:ascii="Book Antiqua" w:hAnsi="Book Antiqua"/>
          <w:color w:val="auto"/>
          <w:sz w:val="22"/>
          <w:szCs w:val="22"/>
        </w:rPr>
        <w:t>S</w:t>
      </w:r>
      <w:r w:rsidR="0092761F" w:rsidRPr="006559B6">
        <w:rPr>
          <w:rFonts w:ascii="Book Antiqua" w:hAnsi="Book Antiqua"/>
          <w:color w:val="auto"/>
          <w:sz w:val="22"/>
          <w:szCs w:val="22"/>
        </w:rPr>
        <w:t xml:space="preserve">i modifica il codice penale con due distinti interventi. </w:t>
      </w:r>
    </w:p>
    <w:p w14:paraId="1E0176F3" w14:textId="77777777" w:rsidR="008A585C" w:rsidRDefault="008A585C" w:rsidP="006559B6">
      <w:pPr>
        <w:pStyle w:val="Titolo1"/>
        <w:spacing w:before="0" w:line="240" w:lineRule="auto"/>
        <w:jc w:val="both"/>
        <w:rPr>
          <w:rFonts w:ascii="Book Antiqua" w:hAnsi="Book Antiqua"/>
          <w:color w:val="auto"/>
          <w:sz w:val="22"/>
          <w:szCs w:val="22"/>
        </w:rPr>
      </w:pPr>
    </w:p>
    <w:p w14:paraId="01B9C869" w14:textId="072F0F2A" w:rsidR="008A585C" w:rsidRDefault="0092761F" w:rsidP="00CF38D1">
      <w:pPr>
        <w:pStyle w:val="Titolo1"/>
        <w:spacing w:before="0" w:line="240" w:lineRule="auto"/>
        <w:jc w:val="both"/>
        <w:rPr>
          <w:rFonts w:ascii="Book Antiqua" w:hAnsi="Book Antiqua"/>
          <w:color w:val="auto"/>
          <w:sz w:val="22"/>
          <w:szCs w:val="22"/>
        </w:rPr>
      </w:pPr>
      <w:r w:rsidRPr="006559B6">
        <w:rPr>
          <w:rFonts w:ascii="Book Antiqua" w:hAnsi="Book Antiqua"/>
          <w:color w:val="auto"/>
          <w:sz w:val="22"/>
          <w:szCs w:val="22"/>
        </w:rPr>
        <w:t xml:space="preserve">Con il primo viene inserito l’articolo 270-quinquies.3 c.p. al fine di punire con la reclusione da due a sei anni, chi </w:t>
      </w:r>
      <w:r w:rsidR="008A585C" w:rsidRPr="008A585C">
        <w:rPr>
          <w:rFonts w:ascii="Book Antiqua" w:hAnsi="Book Antiqua"/>
          <w:color w:val="auto"/>
          <w:sz w:val="22"/>
          <w:szCs w:val="22"/>
        </w:rPr>
        <w:t xml:space="preserve">- al di fuori dei casi di associazione con finalità di terrorismo e di addestramento ad attività con finalità di terrorismo di cui ai citati artt. </w:t>
      </w:r>
      <w:r w:rsidR="008A585C" w:rsidRPr="00CF38D1">
        <w:rPr>
          <w:rFonts w:ascii="Book Antiqua" w:hAnsi="Book Antiqua"/>
          <w:color w:val="auto"/>
          <w:sz w:val="22"/>
          <w:szCs w:val="22"/>
        </w:rPr>
        <w:t xml:space="preserve">270-bis e 270-quinquies c.p. - </w:t>
      </w:r>
      <w:r w:rsidRPr="00CF38D1">
        <w:rPr>
          <w:rFonts w:ascii="Book Antiqua" w:hAnsi="Book Antiqua"/>
          <w:color w:val="auto"/>
          <w:sz w:val="22"/>
          <w:szCs w:val="22"/>
        </w:rPr>
        <w:t xml:space="preserve">si procura o detiene materiale contenente le istruzioni sulla preparazione o sull’uso di materie o sostanze esplodenti, nonché su ogni altra tecnica o metodo, per il compimento di atti di violenza ovvero di sabotaggio di servizi pubblici essenziali, con finalità di terrorismo, anche se rivolti contro uno Stato estero, un’istituzione o un organismo internazionale. </w:t>
      </w:r>
    </w:p>
    <w:p w14:paraId="534527F0" w14:textId="77777777" w:rsidR="00CF38D1" w:rsidRPr="00CF38D1" w:rsidRDefault="00CF38D1" w:rsidP="00CF38D1"/>
    <w:p w14:paraId="1393F3BF" w14:textId="61231E6F" w:rsidR="008A585C" w:rsidRPr="00CF38D1" w:rsidRDefault="008A585C" w:rsidP="008A585C">
      <w:pPr>
        <w:jc w:val="both"/>
        <w:rPr>
          <w:rFonts w:ascii="Book Antiqua" w:eastAsiaTheme="majorEastAsia" w:hAnsi="Book Antiqua" w:cstheme="majorBidi"/>
          <w:sz w:val="22"/>
          <w:szCs w:val="22"/>
        </w:rPr>
      </w:pPr>
      <w:r w:rsidRPr="00CF38D1">
        <w:rPr>
          <w:rFonts w:ascii="Book Antiqua" w:eastAsiaTheme="majorEastAsia" w:hAnsi="Book Antiqua" w:cstheme="majorBidi"/>
          <w:sz w:val="22"/>
          <w:szCs w:val="22"/>
        </w:rPr>
        <w:t>Si tratta di una condotta che arricchisce lo strumentario di contrasto al terrorismo internazionale, che ha come noto ascendenze europee e che specie in tempi recenti preoccupa il dibattito pubblico e politico-criminale.</w:t>
      </w:r>
    </w:p>
    <w:p w14:paraId="326F530B" w14:textId="00EB6234" w:rsidR="00726386" w:rsidRPr="00CF38D1" w:rsidRDefault="008A585C" w:rsidP="00726386">
      <w:pPr>
        <w:jc w:val="both"/>
        <w:rPr>
          <w:rFonts w:ascii="Book Antiqua" w:eastAsiaTheme="majorEastAsia" w:hAnsi="Book Antiqua" w:cstheme="majorBidi"/>
          <w:sz w:val="22"/>
          <w:szCs w:val="22"/>
        </w:rPr>
      </w:pPr>
      <w:r w:rsidRPr="00CF38D1">
        <w:rPr>
          <w:rFonts w:ascii="Book Antiqua" w:eastAsiaTheme="majorEastAsia" w:hAnsi="Book Antiqua" w:cstheme="majorBidi"/>
          <w:sz w:val="22"/>
          <w:szCs w:val="22"/>
        </w:rPr>
        <w:t xml:space="preserve">Si individua una condotta penalmente rilevante che si colloca fuori sia dal contesto strettamente associativo </w:t>
      </w:r>
      <w:r w:rsidR="00726386" w:rsidRPr="00CF38D1">
        <w:rPr>
          <w:rFonts w:ascii="Book Antiqua" w:eastAsiaTheme="majorEastAsia" w:hAnsi="Book Antiqua" w:cstheme="majorBidi"/>
          <w:sz w:val="22"/>
          <w:szCs w:val="22"/>
        </w:rPr>
        <w:t>sia delle condotte di addestramento con una pena proporzionata a quelle dei suindicati reati.</w:t>
      </w:r>
    </w:p>
    <w:p w14:paraId="4B84823A" w14:textId="1D6D4506" w:rsidR="00726386" w:rsidRPr="00CF38D1" w:rsidRDefault="00726386" w:rsidP="00726386">
      <w:pPr>
        <w:jc w:val="both"/>
        <w:rPr>
          <w:rFonts w:ascii="Book Antiqua" w:eastAsiaTheme="majorEastAsia" w:hAnsi="Book Antiqua" w:cstheme="majorBidi"/>
          <w:sz w:val="22"/>
          <w:szCs w:val="22"/>
        </w:rPr>
      </w:pPr>
      <w:r w:rsidRPr="00CF38D1">
        <w:rPr>
          <w:rFonts w:ascii="Book Antiqua" w:eastAsiaTheme="majorEastAsia" w:hAnsi="Book Antiqua" w:cstheme="majorBidi"/>
          <w:sz w:val="22"/>
          <w:szCs w:val="22"/>
        </w:rPr>
        <w:t xml:space="preserve">Pur comprendendo le ragioni politico criminali sottese alla incriminazione, si evidenzia la forte anticipazione dell’intervento penale rispetto ad un pericolo concreto per la sicurezza pubblica con la individuazione di condotte tra loro eterogenee. </w:t>
      </w:r>
    </w:p>
    <w:p w14:paraId="38268292" w14:textId="60B60AAE" w:rsidR="00726386" w:rsidRPr="00CF38D1" w:rsidRDefault="00726386" w:rsidP="00726386">
      <w:pPr>
        <w:jc w:val="both"/>
        <w:rPr>
          <w:rFonts w:ascii="Book Antiqua" w:hAnsi="Book Antiqua"/>
          <w:sz w:val="22"/>
          <w:szCs w:val="22"/>
        </w:rPr>
      </w:pPr>
      <w:r w:rsidRPr="00CF38D1">
        <w:rPr>
          <w:rFonts w:ascii="Book Antiqua" w:eastAsiaTheme="majorEastAsia" w:hAnsi="Book Antiqua" w:cstheme="majorBidi"/>
          <w:sz w:val="22"/>
          <w:szCs w:val="22"/>
        </w:rPr>
        <w:t>In particolare l’inciso “</w:t>
      </w:r>
      <w:r w:rsidRPr="00CF38D1">
        <w:rPr>
          <w:rFonts w:ascii="Book Antiqua" w:hAnsi="Book Antiqua"/>
          <w:sz w:val="22"/>
          <w:szCs w:val="22"/>
        </w:rPr>
        <w:t>si procura o detiene materiale contenente le istruzioni sulla preparazione o sull’uso di materie o sostanze esplodenti” si salda con il pericolo per la sicurezza collettiva.</w:t>
      </w:r>
    </w:p>
    <w:p w14:paraId="39A3C639" w14:textId="6C7902DD" w:rsidR="00726386" w:rsidRPr="00CF38D1" w:rsidRDefault="00726386" w:rsidP="00726386">
      <w:pPr>
        <w:jc w:val="both"/>
        <w:rPr>
          <w:rFonts w:ascii="Book Antiqua" w:hAnsi="Book Antiqua"/>
          <w:sz w:val="22"/>
          <w:szCs w:val="22"/>
        </w:rPr>
      </w:pPr>
      <w:r w:rsidRPr="00CF38D1">
        <w:rPr>
          <w:rFonts w:ascii="Book Antiqua" w:hAnsi="Book Antiqua"/>
          <w:sz w:val="22"/>
          <w:szCs w:val="22"/>
        </w:rPr>
        <w:t xml:space="preserve">L’inciso “nonché su ogni altra tecnica o metodo, per il compimento di atti di violenza ovvero di sabotaggio di servizi pubblici essenziali” non è del tutto in sintonia con il </w:t>
      </w:r>
      <w:r w:rsidRPr="00CF38D1">
        <w:rPr>
          <w:rFonts w:ascii="Book Antiqua" w:hAnsi="Book Antiqua"/>
          <w:sz w:val="22"/>
          <w:szCs w:val="22"/>
        </w:rPr>
        <w:lastRenderedPageBreak/>
        <w:t>principio costituzionale di precisione/determinatezza e rischia di attrarre nell’area del penalmente rilevante condotte del tutto slegate dal contesto terroristico: ad esempio tecniche di combattimento corpo a corpo.</w:t>
      </w:r>
    </w:p>
    <w:p w14:paraId="7229B538" w14:textId="77777777" w:rsidR="00726386" w:rsidRPr="00CF38D1" w:rsidRDefault="00726386" w:rsidP="00726386">
      <w:pPr>
        <w:jc w:val="both"/>
        <w:rPr>
          <w:rFonts w:ascii="Book Antiqua" w:eastAsiaTheme="majorEastAsia" w:hAnsi="Book Antiqua" w:cstheme="majorBidi"/>
          <w:sz w:val="22"/>
          <w:szCs w:val="22"/>
        </w:rPr>
      </w:pPr>
      <w:r w:rsidRPr="00CF38D1">
        <w:rPr>
          <w:rFonts w:ascii="Book Antiqua" w:eastAsiaTheme="majorEastAsia" w:hAnsi="Book Antiqua" w:cstheme="majorBidi"/>
          <w:sz w:val="22"/>
          <w:szCs w:val="22"/>
        </w:rPr>
        <w:t>Il riferimento alla finalità di terrorismo può svolgere una funzione di selettività garantista e consente di “circoscrivere” l’ambito di punibilità della norma alla raccolta delle sole informazioni dirette in modo non equivoco alla pianificazione o alla commissione di atti terroristici.</w:t>
      </w:r>
      <w:r w:rsidR="008A585C" w:rsidRPr="00CF38D1">
        <w:rPr>
          <w:rFonts w:ascii="Book Antiqua" w:eastAsiaTheme="majorEastAsia" w:hAnsi="Book Antiqua" w:cstheme="majorBidi"/>
          <w:sz w:val="22"/>
          <w:szCs w:val="22"/>
        </w:rPr>
        <w:t xml:space="preserve"> </w:t>
      </w:r>
    </w:p>
    <w:p w14:paraId="67177057" w14:textId="52A98963" w:rsidR="008A585C" w:rsidRPr="00CF38D1" w:rsidRDefault="00726386" w:rsidP="00726386">
      <w:pPr>
        <w:jc w:val="both"/>
        <w:rPr>
          <w:rFonts w:ascii="Book Antiqua" w:hAnsi="Book Antiqua"/>
          <w:sz w:val="22"/>
          <w:szCs w:val="22"/>
        </w:rPr>
      </w:pPr>
      <w:r w:rsidRPr="00CF38D1">
        <w:rPr>
          <w:rFonts w:ascii="Book Antiqua" w:eastAsiaTheme="majorEastAsia" w:hAnsi="Book Antiqua" w:cstheme="majorBidi"/>
          <w:sz w:val="22"/>
          <w:szCs w:val="22"/>
        </w:rPr>
        <w:t xml:space="preserve">Sotto tale aspetto, tuttavia, sarebbe opportuno </w:t>
      </w:r>
      <w:r w:rsidR="008A585C" w:rsidRPr="00CF38D1">
        <w:rPr>
          <w:rFonts w:ascii="Book Antiqua" w:eastAsiaTheme="majorEastAsia" w:hAnsi="Book Antiqua" w:cstheme="majorBidi"/>
          <w:sz w:val="22"/>
          <w:szCs w:val="22"/>
        </w:rPr>
        <w:t xml:space="preserve"> </w:t>
      </w:r>
      <w:r w:rsidRPr="00CF38D1">
        <w:rPr>
          <w:rFonts w:ascii="Book Antiqua" w:eastAsiaTheme="majorEastAsia" w:hAnsi="Book Antiqua" w:cstheme="majorBidi"/>
          <w:sz w:val="22"/>
          <w:szCs w:val="22"/>
        </w:rPr>
        <w:t>collocare il sintagma “</w:t>
      </w:r>
      <w:r w:rsidRPr="00CF38D1">
        <w:rPr>
          <w:rFonts w:ascii="Book Antiqua" w:hAnsi="Book Antiqua"/>
          <w:sz w:val="22"/>
          <w:szCs w:val="22"/>
        </w:rPr>
        <w:t xml:space="preserve">con finalità di terrorismo” nella parte iniziale della disposizione, in modo da riferirla all’insieme delle condotte e da irrobustire la lieve materialità della condotta. </w:t>
      </w:r>
    </w:p>
    <w:p w14:paraId="798A4E32" w14:textId="77777777" w:rsidR="00726386" w:rsidRPr="00CF38D1" w:rsidRDefault="00726386" w:rsidP="00726386">
      <w:pPr>
        <w:jc w:val="both"/>
        <w:rPr>
          <w:rFonts w:ascii="Book Antiqua" w:hAnsi="Book Antiqua"/>
          <w:sz w:val="22"/>
          <w:szCs w:val="22"/>
        </w:rPr>
      </w:pPr>
      <w:r w:rsidRPr="00CF38D1">
        <w:rPr>
          <w:rFonts w:ascii="Book Antiqua" w:hAnsi="Book Antiqua"/>
          <w:sz w:val="22"/>
          <w:szCs w:val="22"/>
        </w:rPr>
        <w:t xml:space="preserve">Resta il problema della duplice finalità, che può tuttavia essere superato con lo spostamento della finalità di terrorismo e con una moderna rimodulazione del dolo specifico. </w:t>
      </w:r>
    </w:p>
    <w:p w14:paraId="2A5F692C" w14:textId="77777777" w:rsidR="00CF38D1" w:rsidRPr="00CF38D1" w:rsidRDefault="00CF38D1" w:rsidP="00CF38D1">
      <w:pPr>
        <w:jc w:val="both"/>
        <w:rPr>
          <w:rFonts w:ascii="Book Antiqua" w:hAnsi="Book Antiqua"/>
          <w:sz w:val="22"/>
          <w:szCs w:val="22"/>
        </w:rPr>
      </w:pPr>
      <w:r w:rsidRPr="00CF38D1">
        <w:rPr>
          <w:rFonts w:ascii="Book Antiqua" w:hAnsi="Book Antiqua"/>
          <w:sz w:val="22"/>
          <w:szCs w:val="22"/>
        </w:rPr>
        <w:fldChar w:fldCharType="begin"/>
      </w:r>
      <w:r w:rsidRPr="00CF38D1">
        <w:rPr>
          <w:rFonts w:ascii="Book Antiqua" w:hAnsi="Book Antiqua"/>
          <w:sz w:val="22"/>
          <w:szCs w:val="22"/>
        </w:rPr>
        <w:instrText>&lt;P/&gt;</w:instrText>
      </w:r>
      <w:r w:rsidRPr="00CF38D1">
        <w:rPr>
          <w:rFonts w:ascii="Book Antiqua" w:hAnsi="Book Antiqua"/>
          <w:sz w:val="22"/>
          <w:szCs w:val="22"/>
        </w:rPr>
        <w:fldChar w:fldCharType="end"/>
      </w:r>
      <w:r w:rsidRPr="00CF38D1">
        <w:rPr>
          <w:rFonts w:ascii="Book Antiqua" w:hAnsi="Book Antiqua"/>
          <w:sz w:val="22"/>
          <w:szCs w:val="22"/>
        </w:rPr>
        <w:t xml:space="preserve">Parte della dottrina richiede per contro un collegamento più intenso tra fatto-base e dolo specifico, ponendo il requisito della idoneità oggettiva della condotta-base rispetto al raggiungimento del risultato finale (c.d. oggettivizzazione del dolo specifico; </w:t>
      </w:r>
      <w:r w:rsidRPr="00CF38D1">
        <w:rPr>
          <w:rFonts w:ascii="Book Antiqua" w:hAnsi="Book Antiqua"/>
          <w:i/>
          <w:sz w:val="22"/>
          <w:szCs w:val="22"/>
        </w:rPr>
        <w:t>Cass, Sez. VI, 29 luglio 2011, n. 29670</w:t>
      </w:r>
      <w:r w:rsidRPr="00CF38D1">
        <w:rPr>
          <w:rFonts w:ascii="Book Antiqua" w:hAnsi="Book Antiqua"/>
          <w:sz w:val="22"/>
          <w:szCs w:val="22"/>
        </w:rPr>
        <w:t>).</w:t>
      </w:r>
    </w:p>
    <w:p w14:paraId="29527E79" w14:textId="77777777" w:rsidR="00CF38D1" w:rsidRPr="00CF38D1" w:rsidRDefault="00CF38D1" w:rsidP="00CF38D1">
      <w:pPr>
        <w:jc w:val="both"/>
        <w:rPr>
          <w:rFonts w:ascii="Book Antiqua" w:hAnsi="Book Antiqua"/>
          <w:sz w:val="22"/>
          <w:szCs w:val="22"/>
        </w:rPr>
      </w:pPr>
      <w:r w:rsidRPr="00CF38D1">
        <w:rPr>
          <w:rFonts w:ascii="Book Antiqua" w:hAnsi="Book Antiqua"/>
          <w:sz w:val="22"/>
          <w:szCs w:val="22"/>
        </w:rPr>
        <w:fldChar w:fldCharType="begin"/>
      </w:r>
      <w:r w:rsidRPr="00CF38D1">
        <w:rPr>
          <w:rFonts w:ascii="Book Antiqua" w:hAnsi="Book Antiqua"/>
          <w:sz w:val="22"/>
          <w:szCs w:val="22"/>
        </w:rPr>
        <w:instrText>&lt;/para&gt;&lt;para&gt;</w:instrText>
      </w:r>
      <w:r w:rsidRPr="00CF38D1">
        <w:rPr>
          <w:rFonts w:ascii="Book Antiqua" w:hAnsi="Book Antiqua"/>
          <w:sz w:val="22"/>
          <w:szCs w:val="22"/>
        </w:rPr>
        <w:fldChar w:fldCharType="end"/>
      </w:r>
      <w:r w:rsidRPr="00CF38D1">
        <w:rPr>
          <w:rFonts w:ascii="Book Antiqua" w:hAnsi="Book Antiqua"/>
          <w:sz w:val="22"/>
          <w:szCs w:val="22"/>
        </w:rPr>
        <w:t>Se il dolo specifico viene svincolato da qualunque collegamento con l’aspetto obiettivo del reato, ci si può, peraltro, domandare se, dal punto di vista dogmatico, sia corretto parlare di dolo in rapporto ad un elemento subiettivo sfornito di qualunque dato parallelo sul piano oggettivo. Risulterebbe, inoltre, particolarmente intenso il pericolo di un eccessivo sbilanciamento in chiave soggettiva della struttura dell’illecito — sia allorquando la presenza del movente tipico determini la rilevanza penale di un fatto altrimenti irrilevante, sia allorquando tale presenza inneschi un incremento apprezzabile dei livelli edittali di pena, rispetto ad una corrispondente fattispecie a dolo generico — giacché, in contrasto con il modello del diritto penale del fatto, la cui espressione emblematica è fornita dalla costruzione tipologica dei reati come forme di offesa a beni giuridici, si verrebbe sostanzialmente a reprimere la mera intenzione.</w:t>
      </w:r>
    </w:p>
    <w:p w14:paraId="680F5113" w14:textId="1F19FDFA" w:rsidR="00CF38D1" w:rsidRPr="00CF38D1" w:rsidRDefault="00CF38D1" w:rsidP="00CF38D1">
      <w:pPr>
        <w:jc w:val="both"/>
        <w:rPr>
          <w:rFonts w:ascii="Book Antiqua" w:hAnsi="Book Antiqua"/>
          <w:i/>
          <w:sz w:val="22"/>
          <w:szCs w:val="22"/>
        </w:rPr>
      </w:pPr>
      <w:r w:rsidRPr="00CF38D1">
        <w:rPr>
          <w:rFonts w:ascii="Book Antiqua" w:hAnsi="Book Antiqua"/>
          <w:sz w:val="22"/>
          <w:szCs w:val="22"/>
        </w:rPr>
        <w:fldChar w:fldCharType="begin"/>
      </w:r>
      <w:r w:rsidRPr="00CF38D1">
        <w:rPr>
          <w:rFonts w:ascii="Book Antiqua" w:hAnsi="Book Antiqua"/>
          <w:sz w:val="22"/>
          <w:szCs w:val="22"/>
        </w:rPr>
        <w:instrText>&lt;/para&gt;&lt;para&gt;</w:instrText>
      </w:r>
      <w:r w:rsidRPr="00CF38D1">
        <w:rPr>
          <w:rFonts w:ascii="Book Antiqua" w:hAnsi="Book Antiqua"/>
          <w:sz w:val="22"/>
          <w:szCs w:val="22"/>
        </w:rPr>
        <w:fldChar w:fldCharType="end"/>
      </w:r>
      <w:r w:rsidRPr="00CF38D1">
        <w:rPr>
          <w:rFonts w:ascii="Book Antiqua" w:hAnsi="Book Antiqua"/>
          <w:sz w:val="22"/>
          <w:szCs w:val="22"/>
        </w:rPr>
        <w:t xml:space="preserve">Conseguentemente, la dottrina (G. Marinucci-E. Dolcini-G.L. Gatta, </w:t>
      </w:r>
      <w:r w:rsidRPr="00CF38D1">
        <w:rPr>
          <w:rFonts w:ascii="Book Antiqua" w:hAnsi="Book Antiqua"/>
          <w:i/>
          <w:sz w:val="22"/>
          <w:szCs w:val="22"/>
        </w:rPr>
        <w:t>Corso di diritto penale</w:t>
      </w:r>
      <w:r w:rsidRPr="00CF38D1">
        <w:rPr>
          <w:rFonts w:ascii="Book Antiqua" w:hAnsi="Book Antiqua"/>
          <w:sz w:val="22"/>
          <w:szCs w:val="22"/>
        </w:rPr>
        <w:t xml:space="preserve">, 392 ss.), di fronte al proliferare di fattispecie a dolo specifico, anche nella produzione legislativa più recente, ha ricercato un collegamento più intenso tra fatto-base e dolo specifico, ponendo il requisito della idoneità della condotta-base rispetto al raggiungimento del risultato finale — e, quindi, rispetto alla lesione del bene oggetto della finalità — con conseguente impiego della disposizione sul reato impossibile allorquando tale obiettivo risulti in concreto irrealizzabile. Si rende, pertanto, necessario il superamento di una concezione puramente psicologica del dolo specifico, a favore di una visione che presti la dovuta attenzione ai </w:t>
      </w:r>
      <w:r w:rsidRPr="00CF38D1">
        <w:rPr>
          <w:rFonts w:ascii="Book Antiqua" w:hAnsi="Book Antiqua"/>
          <w:i/>
          <w:sz w:val="22"/>
          <w:szCs w:val="22"/>
        </w:rPr>
        <w:t>nessi di dipendenza</w:t>
      </w:r>
      <w:r w:rsidRPr="00CF38D1">
        <w:rPr>
          <w:rFonts w:ascii="Book Antiqua" w:hAnsi="Book Antiqua"/>
          <w:sz w:val="22"/>
          <w:szCs w:val="22"/>
        </w:rPr>
        <w:t xml:space="preserve"> che, nelle fattispecie a dolo specifico, si instaurano fra le diverse fasi del reato.</w:t>
      </w:r>
      <w:r w:rsidRPr="00CF38D1">
        <w:rPr>
          <w:rFonts w:ascii="Book Antiqua" w:hAnsi="Book Antiqua"/>
          <w:sz w:val="22"/>
          <w:szCs w:val="22"/>
        </w:rPr>
        <w:fldChar w:fldCharType="begin"/>
      </w:r>
      <w:r w:rsidRPr="00CF38D1">
        <w:rPr>
          <w:rFonts w:ascii="Book Antiqua" w:hAnsi="Book Antiqua"/>
          <w:sz w:val="22"/>
          <w:szCs w:val="22"/>
        </w:rPr>
        <w:instrText>&lt;/para&gt;</w:instrText>
      </w:r>
      <w:r w:rsidRPr="00CF38D1">
        <w:rPr>
          <w:rFonts w:ascii="Book Antiqua" w:hAnsi="Book Antiqua"/>
          <w:sz w:val="22"/>
          <w:szCs w:val="22"/>
        </w:rPr>
        <w:fldChar w:fldCharType="end"/>
      </w:r>
    </w:p>
    <w:p w14:paraId="2BFF9620" w14:textId="433126DA" w:rsidR="00CF38D1" w:rsidRPr="00CF38D1" w:rsidRDefault="00CF38D1" w:rsidP="00CF38D1">
      <w:pPr>
        <w:jc w:val="both"/>
        <w:rPr>
          <w:rFonts w:ascii="Book Antiqua" w:hAnsi="Book Antiqua"/>
          <w:sz w:val="22"/>
          <w:szCs w:val="22"/>
        </w:rPr>
      </w:pPr>
      <w:r w:rsidRPr="00CF38D1">
        <w:rPr>
          <w:rFonts w:ascii="Book Antiqua" w:hAnsi="Book Antiqua"/>
          <w:sz w:val="22"/>
          <w:szCs w:val="22"/>
        </w:rPr>
        <w:fldChar w:fldCharType="begin"/>
      </w:r>
      <w:r w:rsidRPr="00CF38D1">
        <w:rPr>
          <w:rFonts w:ascii="Book Antiqua" w:hAnsi="Book Antiqua"/>
          <w:sz w:val="22"/>
          <w:szCs w:val="22"/>
        </w:rPr>
        <w:instrText>&lt;para&gt;</w:instrText>
      </w:r>
      <w:r w:rsidRPr="00CF38D1">
        <w:rPr>
          <w:rFonts w:ascii="Book Antiqua" w:hAnsi="Book Antiqua"/>
          <w:sz w:val="22"/>
          <w:szCs w:val="22"/>
        </w:rPr>
        <w:fldChar w:fldCharType="end"/>
      </w:r>
      <w:r w:rsidRPr="00CF38D1">
        <w:rPr>
          <w:rFonts w:ascii="Book Antiqua" w:hAnsi="Book Antiqua"/>
          <w:sz w:val="22"/>
          <w:szCs w:val="22"/>
        </w:rPr>
        <w:t xml:space="preserve">Pertanto, per scongiurare pericoli di derive soggettivistiche e riportare i reati a dolo specifico nei binari della razionalità del classicismo penale, è stato proposto di ricostruire le predette figure criminose come reati di pericolo concreto con dolo di danno. Così, assimilandone la struttura a quella del tentativo, si è finito per recuperare, sul piano della interpretazione, un requisito inespresso della tipicità oggettiva, </w:t>
      </w:r>
      <w:r w:rsidRPr="00CF38D1">
        <w:rPr>
          <w:rFonts w:ascii="Book Antiqua" w:hAnsi="Book Antiqua"/>
          <w:sz w:val="22"/>
          <w:szCs w:val="22"/>
        </w:rPr>
        <w:lastRenderedPageBreak/>
        <w:t xml:space="preserve">destinato — nella prospettiva dell’accertamento processuale — a moltiplicare gli oneri probatori richiesti per la verifica giudiziale del reato. </w:t>
      </w:r>
    </w:p>
    <w:p w14:paraId="2EA4F4A4" w14:textId="418F179D" w:rsidR="00726386" w:rsidRPr="00CF38D1" w:rsidRDefault="00726386" w:rsidP="00CF38D1">
      <w:pPr>
        <w:jc w:val="both"/>
        <w:rPr>
          <w:rFonts w:ascii="Book Antiqua" w:hAnsi="Book Antiqua"/>
          <w:sz w:val="22"/>
          <w:szCs w:val="22"/>
        </w:rPr>
      </w:pPr>
      <w:r w:rsidRPr="00CF38D1">
        <w:rPr>
          <w:rFonts w:ascii="Book Antiqua" w:hAnsi="Book Antiqua"/>
          <w:sz w:val="22"/>
          <w:szCs w:val="22"/>
        </w:rPr>
        <w:t xml:space="preserve"> </w:t>
      </w:r>
      <w:r w:rsidRPr="00CF38D1">
        <w:rPr>
          <w:rFonts w:ascii="Book Antiqua" w:hAnsi="Book Antiqua"/>
          <w:sz w:val="22"/>
          <w:szCs w:val="22"/>
        </w:rPr>
        <w:fldChar w:fldCharType="begin"/>
      </w:r>
      <w:r w:rsidRPr="00CF38D1">
        <w:rPr>
          <w:rFonts w:ascii="Book Antiqua" w:hAnsi="Book Antiqua"/>
          <w:sz w:val="22"/>
          <w:szCs w:val="22"/>
        </w:rPr>
        <w:instrText>&lt;P/&gt;</w:instrText>
      </w:r>
      <w:r w:rsidRPr="00CF38D1">
        <w:rPr>
          <w:rFonts w:ascii="Book Antiqua" w:hAnsi="Book Antiqua"/>
          <w:sz w:val="22"/>
          <w:szCs w:val="22"/>
        </w:rPr>
        <w:fldChar w:fldCharType="end"/>
      </w:r>
      <w:r w:rsidRPr="00CF38D1">
        <w:rPr>
          <w:rFonts w:ascii="Book Antiqua" w:hAnsi="Book Antiqua"/>
          <w:sz w:val="22"/>
          <w:szCs w:val="22"/>
        </w:rPr>
        <w:t>Il dolo specifico</w:t>
      </w:r>
      <w:r w:rsidR="00CF38D1">
        <w:rPr>
          <w:rFonts w:ascii="Book Antiqua" w:hAnsi="Book Antiqua"/>
          <w:sz w:val="22"/>
          <w:szCs w:val="22"/>
        </w:rPr>
        <w:t xml:space="preserve"> </w:t>
      </w:r>
      <w:r w:rsidRPr="00CF38D1">
        <w:rPr>
          <w:rFonts w:ascii="Book Antiqua" w:hAnsi="Book Antiqua"/>
          <w:sz w:val="22"/>
          <w:szCs w:val="22"/>
        </w:rPr>
        <w:t xml:space="preserve">costituisce </w:t>
      </w:r>
      <w:r w:rsidR="00CF38D1">
        <w:rPr>
          <w:rFonts w:ascii="Book Antiqua" w:hAnsi="Book Antiqua"/>
          <w:sz w:val="22"/>
          <w:szCs w:val="22"/>
        </w:rPr>
        <w:t xml:space="preserve">dunque </w:t>
      </w:r>
      <w:r w:rsidRPr="00CF38D1">
        <w:rPr>
          <w:rFonts w:ascii="Book Antiqua" w:hAnsi="Book Antiqua"/>
          <w:sz w:val="22"/>
          <w:szCs w:val="22"/>
        </w:rPr>
        <w:t>l’asse portante, coessenziale alla stessa nozione di terrorismo: come tale attraversa e conferisce significato le altre finalità descritte in termini di concreta idoneità al raggiungimento dello scopo (</w:t>
      </w:r>
      <w:proofErr w:type="spellStart"/>
      <w:r w:rsidRPr="00CF38D1">
        <w:rPr>
          <w:rFonts w:ascii="Book Antiqua" w:hAnsi="Book Antiqua"/>
          <w:sz w:val="22"/>
          <w:szCs w:val="22"/>
        </w:rPr>
        <w:fldChar w:fldCharType="begin"/>
      </w:r>
      <w:r w:rsidRPr="00CF38D1">
        <w:rPr>
          <w:rFonts w:ascii="Book Antiqua" w:hAnsi="Book Antiqua"/>
          <w:sz w:val="22"/>
          <w:szCs w:val="22"/>
        </w:rPr>
        <w:instrText>&lt;retina&gt;</w:instrText>
      </w:r>
      <w:r w:rsidRPr="00CF38D1">
        <w:rPr>
          <w:rFonts w:ascii="Book Antiqua" w:hAnsi="Book Antiqua"/>
          <w:sz w:val="22"/>
          <w:szCs w:val="22"/>
        </w:rPr>
        <w:fldChar w:fldCharType="end"/>
      </w:r>
      <w:r w:rsidRPr="00CF38D1">
        <w:rPr>
          <w:rFonts w:ascii="Book Antiqua" w:hAnsi="Book Antiqua"/>
          <w:i/>
          <w:sz w:val="22"/>
          <w:szCs w:val="22"/>
        </w:rPr>
        <w:t>Cass</w:t>
      </w:r>
      <w:proofErr w:type="spellEnd"/>
      <w:r w:rsidRPr="00CF38D1">
        <w:rPr>
          <w:rFonts w:ascii="Book Antiqua" w:hAnsi="Book Antiqua"/>
          <w:i/>
          <w:sz w:val="22"/>
          <w:szCs w:val="22"/>
        </w:rPr>
        <w:t>.,</w:t>
      </w:r>
      <w:r w:rsidRPr="00CF38D1">
        <w:rPr>
          <w:rFonts w:ascii="Book Antiqua" w:hAnsi="Book Antiqua"/>
          <w:sz w:val="22"/>
          <w:szCs w:val="22"/>
        </w:rPr>
        <w:t xml:space="preserve"> </w:t>
      </w:r>
      <w:r w:rsidRPr="00CF38D1">
        <w:rPr>
          <w:rFonts w:ascii="Book Antiqua" w:hAnsi="Book Antiqua"/>
          <w:i/>
          <w:sz w:val="22"/>
          <w:szCs w:val="22"/>
        </w:rPr>
        <w:t>Sez. I, 16 luglio 2015, n. 47479; per Cass.,</w:t>
      </w:r>
      <w:r w:rsidRPr="00CF38D1">
        <w:rPr>
          <w:rFonts w:ascii="Book Antiqua" w:hAnsi="Book Antiqua"/>
          <w:sz w:val="22"/>
          <w:szCs w:val="22"/>
        </w:rPr>
        <w:t xml:space="preserve"> </w:t>
      </w:r>
      <w:r w:rsidRPr="00CF38D1">
        <w:rPr>
          <w:rFonts w:ascii="Book Antiqua" w:hAnsi="Book Antiqua"/>
          <w:i/>
          <w:sz w:val="22"/>
          <w:szCs w:val="22"/>
        </w:rPr>
        <w:t>Sez. I, 16 luglio 2015, n. 47479</w:t>
      </w:r>
      <w:r w:rsidRPr="00CF38D1">
        <w:rPr>
          <w:rFonts w:ascii="Book Antiqua" w:hAnsi="Book Antiqua"/>
          <w:sz w:val="22"/>
          <w:szCs w:val="22"/>
        </w:rPr>
        <w:fldChar w:fldCharType="begin"/>
      </w:r>
      <w:r w:rsidRPr="00CF38D1">
        <w:rPr>
          <w:rFonts w:ascii="Book Antiqua" w:hAnsi="Book Antiqua"/>
          <w:sz w:val="22"/>
          <w:szCs w:val="22"/>
        </w:rPr>
        <w:instrText>&lt;/retina&gt;</w:instrText>
      </w:r>
      <w:r w:rsidRPr="00CF38D1">
        <w:rPr>
          <w:rFonts w:ascii="Book Antiqua" w:hAnsi="Book Antiqua"/>
          <w:sz w:val="22"/>
          <w:szCs w:val="22"/>
        </w:rPr>
        <w:fldChar w:fldCharType="end"/>
      </w:r>
      <w:r w:rsidRPr="00CF38D1">
        <w:rPr>
          <w:rFonts w:ascii="Book Antiqua" w:hAnsi="Book Antiqua"/>
          <w:sz w:val="22"/>
          <w:szCs w:val="22"/>
        </w:rPr>
        <w:t xml:space="preserve"> è necessario che la condotta dell’agente crei la possibilità concreta — per la natura ed il contesto obiettivo dell’azione, nonché degli strumenti di aggressione in concreto utilizzati — che l’evento di danno si verifichi, nei termini di un reale impatto intimidatorio sulla popolazione).</w:t>
      </w:r>
    </w:p>
    <w:p w14:paraId="0330A4A5" w14:textId="77777777" w:rsidR="003308F5" w:rsidRPr="006559B6" w:rsidRDefault="003308F5" w:rsidP="0092761F">
      <w:pPr>
        <w:suppressAutoHyphens w:val="0"/>
        <w:spacing w:after="0" w:line="240" w:lineRule="auto"/>
        <w:jc w:val="both"/>
        <w:rPr>
          <w:rFonts w:ascii="Book Antiqua" w:hAnsi="Book Antiqua"/>
          <w:sz w:val="22"/>
          <w:szCs w:val="22"/>
        </w:rPr>
      </w:pPr>
    </w:p>
    <w:p w14:paraId="11A42FF5" w14:textId="2989A925" w:rsidR="000A4D91" w:rsidRDefault="0092761F" w:rsidP="0092761F">
      <w:pPr>
        <w:suppressAutoHyphens w:val="0"/>
        <w:spacing w:after="0" w:line="240" w:lineRule="auto"/>
        <w:jc w:val="both"/>
        <w:rPr>
          <w:rFonts w:ascii="Book Antiqua" w:hAnsi="Book Antiqua"/>
          <w:sz w:val="22"/>
          <w:szCs w:val="22"/>
        </w:rPr>
      </w:pPr>
      <w:r w:rsidRPr="006559B6">
        <w:rPr>
          <w:rFonts w:ascii="Book Antiqua" w:hAnsi="Book Antiqua"/>
          <w:sz w:val="22"/>
          <w:szCs w:val="22"/>
        </w:rPr>
        <w:t>Il secondo intervento aggiunge all’articolo 435 c.p. la previsione che consente di punire i soggetti che con qualsiasi mezzo, anche telematico, distribuiscono, divulgano, diffo</w:t>
      </w:r>
      <w:r w:rsidRPr="006559B6">
        <w:rPr>
          <w:rFonts w:ascii="Book Antiqua" w:hAnsi="Book Antiqua"/>
          <w:sz w:val="22"/>
          <w:szCs w:val="22"/>
        </w:rPr>
        <w:t>n</w:t>
      </w:r>
      <w:r w:rsidRPr="006559B6">
        <w:rPr>
          <w:rFonts w:ascii="Book Antiqua" w:hAnsi="Book Antiqua"/>
          <w:sz w:val="22"/>
          <w:szCs w:val="22"/>
        </w:rPr>
        <w:t>dono o pubblicizzano materiale contenente istruzioni sulla preparazione o sull’uso de</w:t>
      </w:r>
      <w:r w:rsidRPr="006559B6">
        <w:rPr>
          <w:rFonts w:ascii="Book Antiqua" w:hAnsi="Book Antiqua"/>
          <w:sz w:val="22"/>
          <w:szCs w:val="22"/>
        </w:rPr>
        <w:t>l</w:t>
      </w:r>
      <w:r w:rsidRPr="006559B6">
        <w:rPr>
          <w:rFonts w:ascii="Book Antiqua" w:hAnsi="Book Antiqua"/>
          <w:sz w:val="22"/>
          <w:szCs w:val="22"/>
        </w:rPr>
        <w:t>le materie o sostanze esplodenti, asfissianti, infiammanti, accecanti e tossiche, anche di quelle sostanze utili per la composizione o fabbricazione delle stesse, nonché su ogni altra tecnica o metodo per il compimento di taluno dei delitti non colposi previsti dal titolo VI del libro secondo (“Dei delitti contro l’incolumità pubblica”) puniti con la r</w:t>
      </w:r>
      <w:r w:rsidRPr="006559B6">
        <w:rPr>
          <w:rFonts w:ascii="Book Antiqua" w:hAnsi="Book Antiqua"/>
          <w:sz w:val="22"/>
          <w:szCs w:val="22"/>
        </w:rPr>
        <w:t>e</w:t>
      </w:r>
      <w:r w:rsidRPr="006559B6">
        <w:rPr>
          <w:rFonts w:ascii="Book Antiqua" w:hAnsi="Book Antiqua"/>
          <w:sz w:val="22"/>
          <w:szCs w:val="22"/>
        </w:rPr>
        <w:t xml:space="preserve">clusione non inferiore nel massimo a cinque anni, sono puniti con la reclusione da sei mesi a quattro anni. </w:t>
      </w:r>
    </w:p>
    <w:p w14:paraId="61BE9448" w14:textId="77777777" w:rsidR="00CF38D1" w:rsidRDefault="00CF38D1" w:rsidP="0092761F">
      <w:pPr>
        <w:suppressAutoHyphens w:val="0"/>
        <w:spacing w:after="0" w:line="240" w:lineRule="auto"/>
        <w:jc w:val="both"/>
        <w:rPr>
          <w:rFonts w:ascii="Book Antiqua" w:hAnsi="Book Antiqua"/>
          <w:sz w:val="22"/>
          <w:szCs w:val="22"/>
        </w:rPr>
      </w:pPr>
    </w:p>
    <w:p w14:paraId="563FCC83" w14:textId="281B7E7A" w:rsidR="00CF38D1" w:rsidRPr="006559B6" w:rsidRDefault="00CF38D1" w:rsidP="00CF38D1">
      <w:pPr>
        <w:suppressAutoHyphens w:val="0"/>
        <w:spacing w:after="0" w:line="240" w:lineRule="auto"/>
        <w:jc w:val="both"/>
        <w:rPr>
          <w:rFonts w:ascii="Book Antiqua" w:hAnsi="Book Antiqua"/>
          <w:sz w:val="22"/>
          <w:szCs w:val="22"/>
        </w:rPr>
      </w:pPr>
      <w:r w:rsidRPr="00CF38D1">
        <w:rPr>
          <w:rFonts w:ascii="Book Antiqua" w:hAnsi="Book Antiqua"/>
          <w:sz w:val="22"/>
          <w:szCs w:val="22"/>
        </w:rPr>
        <w:t>L’anticipazione della</w:t>
      </w:r>
      <w:r>
        <w:rPr>
          <w:rFonts w:ascii="Book Antiqua" w:hAnsi="Book Antiqua"/>
          <w:sz w:val="22"/>
          <w:szCs w:val="22"/>
        </w:rPr>
        <w:t xml:space="preserve"> </w:t>
      </w:r>
      <w:r w:rsidRPr="00CF38D1">
        <w:rPr>
          <w:rFonts w:ascii="Book Antiqua" w:hAnsi="Book Antiqua"/>
          <w:sz w:val="22"/>
          <w:szCs w:val="22"/>
        </w:rPr>
        <w:t>soglia di punibilità si fonda sull’esigenza di intercettare le condo</w:t>
      </w:r>
      <w:r w:rsidRPr="00CF38D1">
        <w:rPr>
          <w:rFonts w:ascii="Book Antiqua" w:hAnsi="Book Antiqua"/>
          <w:sz w:val="22"/>
          <w:szCs w:val="22"/>
        </w:rPr>
        <w:t>t</w:t>
      </w:r>
      <w:r w:rsidRPr="00CF38D1">
        <w:rPr>
          <w:rFonts w:ascii="Book Antiqua" w:hAnsi="Book Antiqua"/>
          <w:sz w:val="22"/>
          <w:szCs w:val="22"/>
        </w:rPr>
        <w:t>te pericolose di distribuzione,</w:t>
      </w:r>
      <w:r>
        <w:rPr>
          <w:rFonts w:ascii="Book Antiqua" w:hAnsi="Book Antiqua"/>
          <w:sz w:val="22"/>
          <w:szCs w:val="22"/>
        </w:rPr>
        <w:t xml:space="preserve"> </w:t>
      </w:r>
      <w:r w:rsidRPr="00CF38D1">
        <w:rPr>
          <w:rFonts w:ascii="Book Antiqua" w:hAnsi="Book Antiqua"/>
          <w:sz w:val="22"/>
          <w:szCs w:val="22"/>
        </w:rPr>
        <w:t>divulgazione, diffusione e pubblicizzazione del descritto materiale, che vengono, tuttavia, ristrette</w:t>
      </w:r>
      <w:r>
        <w:rPr>
          <w:rFonts w:ascii="Book Antiqua" w:hAnsi="Book Antiqua"/>
          <w:sz w:val="22"/>
          <w:szCs w:val="22"/>
        </w:rPr>
        <w:t xml:space="preserve"> </w:t>
      </w:r>
      <w:r w:rsidRPr="00CF38D1">
        <w:rPr>
          <w:rFonts w:ascii="Book Antiqua" w:hAnsi="Book Antiqua"/>
          <w:sz w:val="22"/>
          <w:szCs w:val="22"/>
        </w:rPr>
        <w:t>alle sole gravi ipotesi dei delitti contro l’incolumità pubblica</w:t>
      </w:r>
      <w:r>
        <w:rPr>
          <w:rFonts w:ascii="Book Antiqua" w:hAnsi="Book Antiqua"/>
          <w:sz w:val="22"/>
          <w:szCs w:val="22"/>
        </w:rPr>
        <w:t>.</w:t>
      </w:r>
    </w:p>
    <w:p w14:paraId="566BD82E" w14:textId="77777777" w:rsidR="00450C03" w:rsidRDefault="00450C03" w:rsidP="0092761F">
      <w:pPr>
        <w:suppressAutoHyphens w:val="0"/>
        <w:spacing w:after="0" w:line="240" w:lineRule="auto"/>
        <w:jc w:val="both"/>
        <w:rPr>
          <w:rFonts w:ascii="Book Antiqua" w:hAnsi="Book Antiqua"/>
          <w:sz w:val="22"/>
          <w:szCs w:val="22"/>
        </w:rPr>
      </w:pPr>
    </w:p>
    <w:p w14:paraId="5C4749E4" w14:textId="476E3CC6" w:rsidR="00CF38D1" w:rsidRDefault="00CF38D1" w:rsidP="0092761F">
      <w:pPr>
        <w:suppressAutoHyphens w:val="0"/>
        <w:spacing w:after="0" w:line="240" w:lineRule="auto"/>
        <w:jc w:val="both"/>
        <w:rPr>
          <w:rFonts w:ascii="Book Antiqua" w:hAnsi="Book Antiqua"/>
          <w:sz w:val="22"/>
          <w:szCs w:val="22"/>
        </w:rPr>
      </w:pPr>
      <w:r>
        <w:rPr>
          <w:rFonts w:ascii="Book Antiqua" w:hAnsi="Book Antiqua"/>
          <w:sz w:val="22"/>
          <w:szCs w:val="22"/>
        </w:rPr>
        <w:t xml:space="preserve">Si </w:t>
      </w:r>
      <w:r w:rsidRPr="00CF38D1">
        <w:rPr>
          <w:rFonts w:ascii="Book Antiqua" w:hAnsi="Book Antiqua"/>
          <w:sz w:val="22"/>
          <w:szCs w:val="22"/>
        </w:rPr>
        <w:t>inserisce nell’art. 435 c.p. un secondo comma ai sensi del quale, fuori dei casi di co</w:t>
      </w:r>
      <w:r w:rsidRPr="00CF38D1">
        <w:rPr>
          <w:rFonts w:ascii="Book Antiqua" w:hAnsi="Book Antiqua"/>
          <w:sz w:val="22"/>
          <w:szCs w:val="22"/>
        </w:rPr>
        <w:t>n</w:t>
      </w:r>
      <w:r w:rsidRPr="00CF38D1">
        <w:rPr>
          <w:rFonts w:ascii="Book Antiqua" w:hAnsi="Book Antiqua"/>
          <w:sz w:val="22"/>
          <w:szCs w:val="22"/>
        </w:rPr>
        <w:t>corso, è punito con la reclusione da 6 mesi a 4 anni chiunque con qualsiasi mezzo, a</w:t>
      </w:r>
      <w:r w:rsidRPr="00CF38D1">
        <w:rPr>
          <w:rFonts w:ascii="Book Antiqua" w:hAnsi="Book Antiqua"/>
          <w:sz w:val="22"/>
          <w:szCs w:val="22"/>
        </w:rPr>
        <w:t>n</w:t>
      </w:r>
      <w:r w:rsidRPr="00CF38D1">
        <w:rPr>
          <w:rFonts w:ascii="Book Antiqua" w:hAnsi="Book Antiqua"/>
          <w:sz w:val="22"/>
          <w:szCs w:val="22"/>
        </w:rPr>
        <w:t>che per via telematica, distribuisce, divulga, diffonde o pubblicizza materiale contene</w:t>
      </w:r>
      <w:r w:rsidRPr="00CF38D1">
        <w:rPr>
          <w:rFonts w:ascii="Book Antiqua" w:hAnsi="Book Antiqua"/>
          <w:sz w:val="22"/>
          <w:szCs w:val="22"/>
        </w:rPr>
        <w:t>n</w:t>
      </w:r>
      <w:r w:rsidRPr="00CF38D1">
        <w:rPr>
          <w:rFonts w:ascii="Book Antiqua" w:hAnsi="Book Antiqua"/>
          <w:sz w:val="22"/>
          <w:szCs w:val="22"/>
        </w:rPr>
        <w:t>te istruzioni sulla preparazione o sull’uso delle materie o sostanze indicate al primo comma, nonché su ogni altra tecnica o metodo per il compimento di delitti non colposi contro la personalità dello Stato di cui al libro II, titolo I, c.p. puniti con la reclusione non inferiore nel massimo a cinque anni.</w:t>
      </w:r>
    </w:p>
    <w:p w14:paraId="03033D76" w14:textId="77777777" w:rsidR="00CF38D1" w:rsidRPr="006559B6" w:rsidRDefault="00CF38D1" w:rsidP="0092761F">
      <w:pPr>
        <w:suppressAutoHyphens w:val="0"/>
        <w:spacing w:after="0" w:line="240" w:lineRule="auto"/>
        <w:jc w:val="both"/>
        <w:rPr>
          <w:rFonts w:ascii="Book Antiqua" w:hAnsi="Book Antiqua"/>
          <w:sz w:val="22"/>
          <w:szCs w:val="22"/>
        </w:rPr>
      </w:pPr>
    </w:p>
    <w:p w14:paraId="30266CF7" w14:textId="157D8AB7" w:rsidR="00CF38D1" w:rsidRDefault="00CF38D1" w:rsidP="00CF38D1">
      <w:pPr>
        <w:suppressAutoHyphens w:val="0"/>
        <w:spacing w:after="0" w:line="240" w:lineRule="auto"/>
        <w:jc w:val="both"/>
        <w:rPr>
          <w:rFonts w:ascii="Book Antiqua" w:hAnsi="Book Antiqua"/>
          <w:sz w:val="22"/>
          <w:szCs w:val="22"/>
        </w:rPr>
      </w:pPr>
      <w:r>
        <w:rPr>
          <w:rFonts w:ascii="Book Antiqua" w:hAnsi="Book Antiqua"/>
          <w:sz w:val="22"/>
          <w:szCs w:val="22"/>
        </w:rPr>
        <w:t>Si tratta di una fattispecie autonoma, dunque sottratta al giudizio di bilanciamento con eventuali attenuanti.</w:t>
      </w:r>
    </w:p>
    <w:p w14:paraId="2381A160" w14:textId="77777777" w:rsidR="00CF38D1" w:rsidRDefault="00CF38D1" w:rsidP="00CF38D1">
      <w:pPr>
        <w:suppressAutoHyphens w:val="0"/>
        <w:spacing w:after="0" w:line="240" w:lineRule="auto"/>
        <w:jc w:val="both"/>
        <w:rPr>
          <w:rFonts w:ascii="Book Antiqua" w:hAnsi="Book Antiqua"/>
          <w:sz w:val="22"/>
          <w:szCs w:val="22"/>
        </w:rPr>
      </w:pPr>
    </w:p>
    <w:p w14:paraId="1575DF3F" w14:textId="4D2F1D3E" w:rsidR="00CF38D1" w:rsidRPr="006559B6" w:rsidRDefault="00CF38D1" w:rsidP="00CF38D1">
      <w:pPr>
        <w:suppressAutoHyphens w:val="0"/>
        <w:spacing w:after="0" w:line="240" w:lineRule="auto"/>
        <w:jc w:val="both"/>
        <w:rPr>
          <w:rFonts w:ascii="Book Antiqua" w:hAnsi="Book Antiqua"/>
          <w:sz w:val="22"/>
          <w:szCs w:val="22"/>
        </w:rPr>
      </w:pPr>
      <w:r>
        <w:rPr>
          <w:rFonts w:ascii="Book Antiqua" w:hAnsi="Book Antiqua"/>
          <w:sz w:val="22"/>
          <w:szCs w:val="22"/>
        </w:rPr>
        <w:t>Il riferimento  “</w:t>
      </w:r>
      <w:r w:rsidRPr="00CF38D1">
        <w:rPr>
          <w:rFonts w:ascii="Book Antiqua" w:hAnsi="Book Antiqua"/>
          <w:sz w:val="22"/>
          <w:szCs w:val="22"/>
        </w:rPr>
        <w:t>ogni altra tecnica o metodo per il compimento di delitti non colposi contro la personalità dello Stato di cui al libro II, titolo I, c.p. puniti con la reclusione non inferiore nel massimo a cinque anni</w:t>
      </w:r>
      <w:r>
        <w:rPr>
          <w:rFonts w:ascii="Book Antiqua" w:hAnsi="Book Antiqua"/>
          <w:sz w:val="22"/>
          <w:szCs w:val="22"/>
        </w:rPr>
        <w:t>” appare troppo ampio ed eccessivamente estensivo della tipicità penale.</w:t>
      </w:r>
    </w:p>
    <w:p w14:paraId="399151E5" w14:textId="77777777" w:rsidR="00450C03" w:rsidRPr="006559B6" w:rsidRDefault="00450C03" w:rsidP="0092761F">
      <w:pPr>
        <w:suppressAutoHyphens w:val="0"/>
        <w:spacing w:after="0" w:line="240" w:lineRule="auto"/>
        <w:jc w:val="both"/>
        <w:rPr>
          <w:rFonts w:ascii="Book Antiqua" w:hAnsi="Book Antiqua"/>
          <w:sz w:val="22"/>
          <w:szCs w:val="22"/>
        </w:rPr>
      </w:pPr>
    </w:p>
    <w:p w14:paraId="0E5E0B30" w14:textId="77777777" w:rsidR="00450C03" w:rsidRPr="006559B6" w:rsidRDefault="00450C03" w:rsidP="0092761F">
      <w:pPr>
        <w:suppressAutoHyphens w:val="0"/>
        <w:spacing w:after="0" w:line="240" w:lineRule="auto"/>
        <w:jc w:val="both"/>
        <w:rPr>
          <w:rFonts w:ascii="Book Antiqua" w:hAnsi="Book Antiqua"/>
          <w:sz w:val="22"/>
          <w:szCs w:val="22"/>
        </w:rPr>
      </w:pPr>
    </w:p>
    <w:p w14:paraId="4DA8FBC7" w14:textId="77777777" w:rsidR="00CF38D1" w:rsidRPr="00387B82" w:rsidRDefault="00CF38D1" w:rsidP="0092761F">
      <w:pPr>
        <w:suppressAutoHyphens w:val="0"/>
        <w:spacing w:after="0" w:line="240" w:lineRule="auto"/>
        <w:jc w:val="both"/>
        <w:rPr>
          <w:rFonts w:ascii="Book Antiqua" w:hAnsi="Book Antiqua"/>
          <w:b/>
          <w:sz w:val="22"/>
          <w:szCs w:val="22"/>
        </w:rPr>
      </w:pPr>
      <w:r w:rsidRPr="00387B82">
        <w:rPr>
          <w:rFonts w:ascii="Book Antiqua" w:hAnsi="Book Antiqua"/>
          <w:b/>
          <w:sz w:val="22"/>
          <w:szCs w:val="22"/>
        </w:rPr>
        <w:t xml:space="preserve">2. </w:t>
      </w:r>
      <w:r w:rsidR="00450C03" w:rsidRPr="00387B82">
        <w:rPr>
          <w:rFonts w:ascii="Book Antiqua" w:hAnsi="Book Antiqua"/>
          <w:b/>
          <w:sz w:val="22"/>
          <w:szCs w:val="22"/>
        </w:rPr>
        <w:t xml:space="preserve">Articolo 8 </w:t>
      </w:r>
      <w:r w:rsidRPr="00387B82">
        <w:rPr>
          <w:rFonts w:ascii="Book Antiqua" w:hAnsi="Book Antiqua"/>
          <w:b/>
          <w:sz w:val="22"/>
          <w:szCs w:val="22"/>
        </w:rPr>
        <w:t xml:space="preserve"> - </w:t>
      </w:r>
      <w:r w:rsidR="00450C03" w:rsidRPr="00387B82">
        <w:rPr>
          <w:rFonts w:ascii="Book Antiqua" w:hAnsi="Book Antiqua"/>
          <w:b/>
          <w:sz w:val="22"/>
          <w:szCs w:val="22"/>
        </w:rPr>
        <w:t>Misure per il contrasto del fenomeno dell’occupazione arbitraria di i</w:t>
      </w:r>
      <w:r w:rsidR="00450C03" w:rsidRPr="00387B82">
        <w:rPr>
          <w:rFonts w:ascii="Book Antiqua" w:hAnsi="Book Antiqua"/>
          <w:b/>
          <w:sz w:val="22"/>
          <w:szCs w:val="22"/>
        </w:rPr>
        <w:t>m</w:t>
      </w:r>
      <w:r w:rsidR="00450C03" w:rsidRPr="00387B82">
        <w:rPr>
          <w:rFonts w:ascii="Book Antiqua" w:hAnsi="Book Antiqua"/>
          <w:b/>
          <w:sz w:val="22"/>
          <w:szCs w:val="22"/>
        </w:rPr>
        <w:t>mobile destinato a domicilio altrui</w:t>
      </w:r>
      <w:r w:rsidRPr="00387B82">
        <w:rPr>
          <w:rFonts w:ascii="Book Antiqua" w:hAnsi="Book Antiqua"/>
          <w:b/>
          <w:sz w:val="22"/>
          <w:szCs w:val="22"/>
        </w:rPr>
        <w:t>.</w:t>
      </w:r>
      <w:r w:rsidR="00450C03" w:rsidRPr="00387B82">
        <w:rPr>
          <w:rFonts w:ascii="Book Antiqua" w:hAnsi="Book Antiqua"/>
          <w:b/>
          <w:sz w:val="22"/>
          <w:szCs w:val="22"/>
        </w:rPr>
        <w:t xml:space="preserve"> </w:t>
      </w:r>
    </w:p>
    <w:p w14:paraId="4FF3CF11" w14:textId="77777777" w:rsidR="00CF38D1" w:rsidRDefault="00CF38D1" w:rsidP="0092761F">
      <w:pPr>
        <w:suppressAutoHyphens w:val="0"/>
        <w:spacing w:after="0" w:line="240" w:lineRule="auto"/>
        <w:jc w:val="both"/>
        <w:rPr>
          <w:rFonts w:ascii="Book Antiqua" w:hAnsi="Book Antiqua"/>
          <w:sz w:val="22"/>
          <w:szCs w:val="22"/>
        </w:rPr>
      </w:pPr>
    </w:p>
    <w:p w14:paraId="186B633E" w14:textId="77777777" w:rsidR="00CF38D1" w:rsidRDefault="00CF38D1" w:rsidP="0092761F">
      <w:pPr>
        <w:suppressAutoHyphens w:val="0"/>
        <w:spacing w:after="0" w:line="240" w:lineRule="auto"/>
        <w:jc w:val="both"/>
        <w:rPr>
          <w:rFonts w:ascii="Book Antiqua" w:hAnsi="Book Antiqua"/>
          <w:sz w:val="22"/>
          <w:szCs w:val="22"/>
        </w:rPr>
      </w:pPr>
      <w:r>
        <w:rPr>
          <w:rFonts w:ascii="Book Antiqua" w:hAnsi="Book Antiqua"/>
          <w:sz w:val="22"/>
          <w:szCs w:val="22"/>
        </w:rPr>
        <w:t>L’</w:t>
      </w:r>
      <w:r w:rsidR="00450C03" w:rsidRPr="006559B6">
        <w:rPr>
          <w:rFonts w:ascii="Book Antiqua" w:hAnsi="Book Antiqua"/>
          <w:sz w:val="22"/>
          <w:szCs w:val="22"/>
        </w:rPr>
        <w:t>intervento normativo interviene in materia di occupazione arbitraria di immobili, da un lato introducendo una nuova fattispecie di reato nel codice penale, dall’altro prev</w:t>
      </w:r>
      <w:r w:rsidR="00450C03" w:rsidRPr="006559B6">
        <w:rPr>
          <w:rFonts w:ascii="Book Antiqua" w:hAnsi="Book Antiqua"/>
          <w:sz w:val="22"/>
          <w:szCs w:val="22"/>
        </w:rPr>
        <w:t>e</w:t>
      </w:r>
      <w:r w:rsidR="00450C03" w:rsidRPr="006559B6">
        <w:rPr>
          <w:rFonts w:ascii="Book Antiqua" w:hAnsi="Book Antiqua"/>
          <w:sz w:val="22"/>
          <w:szCs w:val="22"/>
        </w:rPr>
        <w:lastRenderedPageBreak/>
        <w:t>dendo una specifica procedura per la reintegrazione nel possesso dell’immobile occ</w:t>
      </w:r>
      <w:r w:rsidR="00450C03" w:rsidRPr="006559B6">
        <w:rPr>
          <w:rFonts w:ascii="Book Antiqua" w:hAnsi="Book Antiqua"/>
          <w:sz w:val="22"/>
          <w:szCs w:val="22"/>
        </w:rPr>
        <w:t>u</w:t>
      </w:r>
      <w:r w:rsidR="00450C03" w:rsidRPr="006559B6">
        <w:rPr>
          <w:rFonts w:ascii="Book Antiqua" w:hAnsi="Book Antiqua"/>
          <w:sz w:val="22"/>
          <w:szCs w:val="22"/>
        </w:rPr>
        <w:t xml:space="preserve">pato. </w:t>
      </w:r>
    </w:p>
    <w:p w14:paraId="09873742" w14:textId="77777777" w:rsidR="00CF38D1" w:rsidRDefault="00CF38D1" w:rsidP="0092761F">
      <w:pPr>
        <w:suppressAutoHyphens w:val="0"/>
        <w:spacing w:after="0" w:line="240" w:lineRule="auto"/>
        <w:jc w:val="both"/>
        <w:rPr>
          <w:rFonts w:ascii="Book Antiqua" w:hAnsi="Book Antiqua"/>
          <w:sz w:val="22"/>
          <w:szCs w:val="22"/>
        </w:rPr>
      </w:pPr>
    </w:p>
    <w:p w14:paraId="25C42F54" w14:textId="77777777" w:rsidR="00CF38D1" w:rsidRDefault="00450C03" w:rsidP="0092761F">
      <w:pPr>
        <w:suppressAutoHyphens w:val="0"/>
        <w:spacing w:after="0" w:line="240" w:lineRule="auto"/>
        <w:jc w:val="both"/>
        <w:rPr>
          <w:rFonts w:ascii="Book Antiqua" w:hAnsi="Book Antiqua"/>
          <w:sz w:val="22"/>
          <w:szCs w:val="22"/>
        </w:rPr>
      </w:pPr>
      <w:r w:rsidRPr="006559B6">
        <w:rPr>
          <w:rFonts w:ascii="Book Antiqua" w:hAnsi="Book Antiqua"/>
          <w:sz w:val="22"/>
          <w:szCs w:val="22"/>
        </w:rPr>
        <w:t>In particolare, il comma 1 introduce l’articolo 634-bis c.p., rubricato “Occupazione arb</w:t>
      </w:r>
      <w:r w:rsidRPr="006559B6">
        <w:rPr>
          <w:rFonts w:ascii="Book Antiqua" w:hAnsi="Book Antiqua"/>
          <w:sz w:val="22"/>
          <w:szCs w:val="22"/>
        </w:rPr>
        <w:t>i</w:t>
      </w:r>
      <w:r w:rsidRPr="006559B6">
        <w:rPr>
          <w:rFonts w:ascii="Book Antiqua" w:hAnsi="Book Antiqua"/>
          <w:sz w:val="22"/>
          <w:szCs w:val="22"/>
        </w:rPr>
        <w:t xml:space="preserve">traria di immobile destinato a domicilio altrui”. </w:t>
      </w:r>
    </w:p>
    <w:p w14:paraId="4874CE93" w14:textId="77777777" w:rsidR="00CF38D1" w:rsidRDefault="00CF38D1" w:rsidP="0092761F">
      <w:pPr>
        <w:suppressAutoHyphens w:val="0"/>
        <w:spacing w:after="0" w:line="240" w:lineRule="auto"/>
        <w:jc w:val="both"/>
        <w:rPr>
          <w:rFonts w:ascii="Book Antiqua" w:hAnsi="Book Antiqua"/>
          <w:sz w:val="22"/>
          <w:szCs w:val="22"/>
        </w:rPr>
      </w:pPr>
    </w:p>
    <w:p w14:paraId="77F8FFEA" w14:textId="77777777" w:rsidR="00CF38D1" w:rsidRDefault="00450C03" w:rsidP="0092761F">
      <w:pPr>
        <w:suppressAutoHyphens w:val="0"/>
        <w:spacing w:after="0" w:line="240" w:lineRule="auto"/>
        <w:jc w:val="both"/>
        <w:rPr>
          <w:rFonts w:ascii="Book Antiqua" w:hAnsi="Book Antiqua"/>
          <w:sz w:val="22"/>
          <w:szCs w:val="22"/>
        </w:rPr>
      </w:pPr>
      <w:r w:rsidRPr="006559B6">
        <w:rPr>
          <w:rFonts w:ascii="Book Antiqua" w:hAnsi="Book Antiqua"/>
          <w:sz w:val="22"/>
          <w:szCs w:val="22"/>
        </w:rPr>
        <w:t xml:space="preserve">Si tratta di un delitto - perseguibile a querela della persona offesa - volto a punire le condotte di quei soggetti che, mediante violenza o minaccia, occupano o detengono senza titolo un immobile destinato a domicilio altrui, ovvero impediscono il rientro nel medesimo immobile da parte del proprietario o di colui che lo detiene legittimamente. La pena prevista è quella della reclusione da due a sette anni. </w:t>
      </w:r>
    </w:p>
    <w:p w14:paraId="63D4A462" w14:textId="77777777" w:rsidR="00CF38D1" w:rsidRDefault="00CF38D1" w:rsidP="0092761F">
      <w:pPr>
        <w:suppressAutoHyphens w:val="0"/>
        <w:spacing w:after="0" w:line="240" w:lineRule="auto"/>
        <w:jc w:val="both"/>
        <w:rPr>
          <w:rFonts w:ascii="Book Antiqua" w:hAnsi="Book Antiqua"/>
          <w:sz w:val="22"/>
          <w:szCs w:val="22"/>
        </w:rPr>
      </w:pPr>
    </w:p>
    <w:p w14:paraId="47299674" w14:textId="77777777" w:rsidR="00CF38D1" w:rsidRDefault="00450C03" w:rsidP="0092761F">
      <w:pPr>
        <w:suppressAutoHyphens w:val="0"/>
        <w:spacing w:after="0" w:line="240" w:lineRule="auto"/>
        <w:jc w:val="both"/>
        <w:rPr>
          <w:rFonts w:ascii="Book Antiqua" w:hAnsi="Book Antiqua"/>
          <w:sz w:val="22"/>
          <w:szCs w:val="22"/>
        </w:rPr>
      </w:pPr>
      <w:r w:rsidRPr="006559B6">
        <w:rPr>
          <w:rFonts w:ascii="Book Antiqua" w:hAnsi="Book Antiqua"/>
          <w:sz w:val="22"/>
          <w:szCs w:val="22"/>
        </w:rPr>
        <w:t xml:space="preserve">Alla stessa pena soggiace chi si appropria di un immobile altrui, con artifizi o raggiri, o cede ad altri l’immobile occupato, nonché colui che - fuori dei casi di concorso nel reato - si intromette o coopera nell’occupazione dell’immobile, riceve o corrisponde denaro o altra utilità per l’occupazione. </w:t>
      </w:r>
    </w:p>
    <w:p w14:paraId="6F3DA4E3" w14:textId="77777777" w:rsidR="00CF38D1" w:rsidRDefault="00CF38D1" w:rsidP="0092761F">
      <w:pPr>
        <w:suppressAutoHyphens w:val="0"/>
        <w:spacing w:after="0" w:line="240" w:lineRule="auto"/>
        <w:jc w:val="both"/>
        <w:rPr>
          <w:rFonts w:ascii="Book Antiqua" w:hAnsi="Book Antiqua"/>
          <w:sz w:val="22"/>
          <w:szCs w:val="22"/>
        </w:rPr>
      </w:pPr>
    </w:p>
    <w:p w14:paraId="0203C905" w14:textId="77777777" w:rsidR="00CF38D1" w:rsidRDefault="00CF38D1" w:rsidP="0092761F">
      <w:pPr>
        <w:suppressAutoHyphens w:val="0"/>
        <w:spacing w:after="0" w:line="240" w:lineRule="auto"/>
        <w:jc w:val="both"/>
        <w:rPr>
          <w:rFonts w:ascii="Book Antiqua" w:hAnsi="Book Antiqua"/>
          <w:sz w:val="22"/>
          <w:szCs w:val="22"/>
        </w:rPr>
      </w:pPr>
      <w:r>
        <w:rPr>
          <w:rFonts w:ascii="Book Antiqua" w:hAnsi="Book Antiqua"/>
          <w:sz w:val="22"/>
          <w:szCs w:val="22"/>
        </w:rPr>
        <w:t>N</w:t>
      </w:r>
      <w:r w:rsidR="00450C03" w:rsidRPr="006559B6">
        <w:rPr>
          <w:rFonts w:ascii="Book Antiqua" w:hAnsi="Book Antiqua"/>
          <w:sz w:val="22"/>
          <w:szCs w:val="22"/>
        </w:rPr>
        <w:t>on è punibile l’occupante che collabora all’accertamento dei fatti e ottempera volo</w:t>
      </w:r>
      <w:r w:rsidR="00450C03" w:rsidRPr="006559B6">
        <w:rPr>
          <w:rFonts w:ascii="Book Antiqua" w:hAnsi="Book Antiqua"/>
          <w:sz w:val="22"/>
          <w:szCs w:val="22"/>
        </w:rPr>
        <w:t>n</w:t>
      </w:r>
      <w:r w:rsidR="00450C03" w:rsidRPr="006559B6">
        <w:rPr>
          <w:rFonts w:ascii="Book Antiqua" w:hAnsi="Book Antiqua"/>
          <w:sz w:val="22"/>
          <w:szCs w:val="22"/>
        </w:rPr>
        <w:t xml:space="preserve">tariamente all’ordine di rilascio dell’immobile. </w:t>
      </w:r>
    </w:p>
    <w:p w14:paraId="444853FB" w14:textId="77777777" w:rsidR="00CF38D1" w:rsidRDefault="00CF38D1" w:rsidP="0092761F">
      <w:pPr>
        <w:suppressAutoHyphens w:val="0"/>
        <w:spacing w:after="0" w:line="240" w:lineRule="auto"/>
        <w:jc w:val="both"/>
        <w:rPr>
          <w:rFonts w:ascii="Book Antiqua" w:hAnsi="Book Antiqua"/>
          <w:sz w:val="22"/>
          <w:szCs w:val="22"/>
        </w:rPr>
      </w:pPr>
    </w:p>
    <w:p w14:paraId="484F2F36" w14:textId="77777777" w:rsidR="00CF38D1" w:rsidRDefault="00CF38D1" w:rsidP="0092761F">
      <w:pPr>
        <w:suppressAutoHyphens w:val="0"/>
        <w:spacing w:after="0" w:line="240" w:lineRule="auto"/>
        <w:jc w:val="both"/>
        <w:rPr>
          <w:rFonts w:ascii="Book Antiqua" w:hAnsi="Book Antiqua"/>
          <w:sz w:val="22"/>
          <w:szCs w:val="22"/>
        </w:rPr>
      </w:pPr>
      <w:r>
        <w:rPr>
          <w:rFonts w:ascii="Book Antiqua" w:hAnsi="Book Antiqua"/>
          <w:sz w:val="22"/>
          <w:szCs w:val="22"/>
        </w:rPr>
        <w:t>S</w:t>
      </w:r>
      <w:r w:rsidR="00450C03" w:rsidRPr="006559B6">
        <w:rPr>
          <w:rFonts w:ascii="Book Antiqua" w:hAnsi="Book Antiqua"/>
          <w:sz w:val="22"/>
          <w:szCs w:val="22"/>
        </w:rPr>
        <w:t>i potenziano gli strumenti di contrasto delle occupazioni abusive degli immobili pr</w:t>
      </w:r>
      <w:r w:rsidR="00450C03" w:rsidRPr="006559B6">
        <w:rPr>
          <w:rFonts w:ascii="Book Antiqua" w:hAnsi="Book Antiqua"/>
          <w:sz w:val="22"/>
          <w:szCs w:val="22"/>
        </w:rPr>
        <w:t>e</w:t>
      </w:r>
      <w:r w:rsidR="00450C03" w:rsidRPr="006559B6">
        <w:rPr>
          <w:rFonts w:ascii="Book Antiqua" w:hAnsi="Book Antiqua"/>
          <w:sz w:val="22"/>
          <w:szCs w:val="22"/>
        </w:rPr>
        <w:t>visti dal quadro normativo previgente, secondo il quale, infatti, il fenomeno delle pr</w:t>
      </w:r>
      <w:r w:rsidR="00450C03" w:rsidRPr="006559B6">
        <w:rPr>
          <w:rFonts w:ascii="Book Antiqua" w:hAnsi="Book Antiqua"/>
          <w:sz w:val="22"/>
          <w:szCs w:val="22"/>
        </w:rPr>
        <w:t>e</w:t>
      </w:r>
      <w:r w:rsidR="00450C03" w:rsidRPr="006559B6">
        <w:rPr>
          <w:rFonts w:ascii="Book Antiqua" w:hAnsi="Book Antiqua"/>
          <w:sz w:val="22"/>
          <w:szCs w:val="22"/>
        </w:rPr>
        <w:t xml:space="preserve">dette occupazioni si configura quale illecito civile (che obbliga l’autore alla restituzione e al risarcimento del danno) oltre che come reato, punibile - ai sensi dell’articolo 633 c.p. - con la reclusione da uno a tre anni e con la multa da euro 103 a euro 1032. </w:t>
      </w:r>
    </w:p>
    <w:p w14:paraId="5BD19D7E" w14:textId="77777777" w:rsidR="00CF38D1" w:rsidRDefault="00CF38D1" w:rsidP="0092761F">
      <w:pPr>
        <w:suppressAutoHyphens w:val="0"/>
        <w:spacing w:after="0" w:line="240" w:lineRule="auto"/>
        <w:jc w:val="both"/>
        <w:rPr>
          <w:rFonts w:ascii="Book Antiqua" w:hAnsi="Book Antiqua"/>
          <w:sz w:val="22"/>
          <w:szCs w:val="22"/>
        </w:rPr>
      </w:pPr>
    </w:p>
    <w:p w14:paraId="0B495FB1" w14:textId="77777777" w:rsidR="00CF38D1" w:rsidRDefault="00450C03" w:rsidP="0092761F">
      <w:pPr>
        <w:suppressAutoHyphens w:val="0"/>
        <w:spacing w:after="0" w:line="240" w:lineRule="auto"/>
        <w:jc w:val="both"/>
        <w:rPr>
          <w:rFonts w:ascii="Book Antiqua" w:hAnsi="Book Antiqua"/>
          <w:sz w:val="22"/>
          <w:szCs w:val="22"/>
        </w:rPr>
      </w:pPr>
      <w:r w:rsidRPr="006559B6">
        <w:rPr>
          <w:rFonts w:ascii="Book Antiqua" w:hAnsi="Book Antiqua"/>
          <w:sz w:val="22"/>
          <w:szCs w:val="22"/>
        </w:rPr>
        <w:t xml:space="preserve">Il comma 2 inserisce anche il nuovo reato di occupazione arbitraria di immobile di cui all’art. 634-bis c.p. tra i reati procedibili d’ufficio se commessi su immobili pubblici o a destinazione pubblica. </w:t>
      </w:r>
    </w:p>
    <w:p w14:paraId="622C7601" w14:textId="77777777" w:rsidR="004F2724" w:rsidRDefault="004F2724" w:rsidP="0092761F">
      <w:pPr>
        <w:suppressAutoHyphens w:val="0"/>
        <w:spacing w:after="0" w:line="240" w:lineRule="auto"/>
        <w:jc w:val="both"/>
        <w:rPr>
          <w:rFonts w:ascii="Book Antiqua" w:hAnsi="Book Antiqua"/>
          <w:sz w:val="22"/>
          <w:szCs w:val="22"/>
        </w:rPr>
      </w:pPr>
    </w:p>
    <w:p w14:paraId="539FAB57" w14:textId="0C1E3892" w:rsidR="004F2724" w:rsidRDefault="004F2724" w:rsidP="0092761F">
      <w:pPr>
        <w:suppressAutoHyphens w:val="0"/>
        <w:spacing w:after="0" w:line="240" w:lineRule="auto"/>
        <w:jc w:val="both"/>
        <w:rPr>
          <w:rFonts w:ascii="Book Antiqua" w:hAnsi="Book Antiqua"/>
          <w:sz w:val="22"/>
          <w:szCs w:val="22"/>
        </w:rPr>
      </w:pPr>
      <w:r>
        <w:rPr>
          <w:rFonts w:ascii="Book Antiqua" w:hAnsi="Book Antiqua"/>
          <w:sz w:val="22"/>
          <w:szCs w:val="22"/>
        </w:rPr>
        <w:t xml:space="preserve">Le disposizioni si inseriscono </w:t>
      </w:r>
      <w:r w:rsidR="009F52FF">
        <w:rPr>
          <w:rFonts w:ascii="Book Antiqua" w:hAnsi="Book Antiqua"/>
          <w:sz w:val="22"/>
          <w:szCs w:val="22"/>
        </w:rPr>
        <w:t>con pene elevate in un contesto ordinamentale già coste</w:t>
      </w:r>
      <w:r w:rsidR="009F52FF">
        <w:rPr>
          <w:rFonts w:ascii="Book Antiqua" w:hAnsi="Book Antiqua"/>
          <w:sz w:val="22"/>
          <w:szCs w:val="22"/>
        </w:rPr>
        <w:t>l</w:t>
      </w:r>
      <w:r w:rsidR="009F52FF">
        <w:rPr>
          <w:rFonts w:ascii="Book Antiqua" w:hAnsi="Book Antiqua"/>
          <w:sz w:val="22"/>
          <w:szCs w:val="22"/>
        </w:rPr>
        <w:t>lato dagli artt. 633, 633 bis e 634 c.p.</w:t>
      </w:r>
    </w:p>
    <w:p w14:paraId="3569823A" w14:textId="77777777" w:rsidR="009F52FF" w:rsidRDefault="009F52FF" w:rsidP="0092761F">
      <w:pPr>
        <w:suppressAutoHyphens w:val="0"/>
        <w:spacing w:after="0" w:line="240" w:lineRule="auto"/>
        <w:jc w:val="both"/>
        <w:rPr>
          <w:rFonts w:ascii="Book Antiqua" w:hAnsi="Book Antiqua"/>
          <w:sz w:val="22"/>
          <w:szCs w:val="22"/>
        </w:rPr>
      </w:pPr>
    </w:p>
    <w:p w14:paraId="5DBEF455" w14:textId="77777777" w:rsidR="002A12D9" w:rsidRDefault="002A12D9" w:rsidP="002A12D9">
      <w:pPr>
        <w:suppressAutoHyphens w:val="0"/>
        <w:spacing w:after="0" w:line="240" w:lineRule="auto"/>
        <w:jc w:val="both"/>
        <w:rPr>
          <w:rFonts w:ascii="Book Antiqua" w:hAnsi="Book Antiqua"/>
          <w:sz w:val="22"/>
          <w:szCs w:val="22"/>
        </w:rPr>
      </w:pPr>
      <w:r>
        <w:rPr>
          <w:rFonts w:ascii="Book Antiqua" w:hAnsi="Book Antiqua"/>
          <w:sz w:val="22"/>
          <w:szCs w:val="22"/>
        </w:rPr>
        <w:t>Sul punto, è possibile osservare che si tratta di delitto contro il patrimonio, in cui ve</w:t>
      </w:r>
      <w:r>
        <w:rPr>
          <w:rFonts w:ascii="Book Antiqua" w:hAnsi="Book Antiqua"/>
          <w:sz w:val="22"/>
          <w:szCs w:val="22"/>
        </w:rPr>
        <w:t>n</w:t>
      </w:r>
      <w:r>
        <w:rPr>
          <w:rFonts w:ascii="Book Antiqua" w:hAnsi="Book Antiqua"/>
          <w:sz w:val="22"/>
          <w:szCs w:val="22"/>
        </w:rPr>
        <w:t>gono in rilievo anche interessi ulteriori della persona (si pensi ai fatti di cronaca di chi va in ospedale ed al ritorno trova l’abitazione occupata). Sotto tale aspetto, potrebbe essere opportuno sostituire il riferimento al “domicilio” con quello dell’”abitazione”.</w:t>
      </w:r>
    </w:p>
    <w:p w14:paraId="63AF1526" w14:textId="77777777" w:rsidR="002A12D9" w:rsidRDefault="002A12D9" w:rsidP="0092761F">
      <w:pPr>
        <w:suppressAutoHyphens w:val="0"/>
        <w:spacing w:after="0" w:line="240" w:lineRule="auto"/>
        <w:jc w:val="both"/>
        <w:rPr>
          <w:rFonts w:ascii="Book Antiqua" w:hAnsi="Book Antiqua"/>
          <w:sz w:val="22"/>
          <w:szCs w:val="22"/>
        </w:rPr>
      </w:pPr>
    </w:p>
    <w:p w14:paraId="440AA00A" w14:textId="01B04E0E" w:rsidR="00823A33" w:rsidRDefault="009F52FF" w:rsidP="0092761F">
      <w:pPr>
        <w:suppressAutoHyphens w:val="0"/>
        <w:spacing w:after="0" w:line="240" w:lineRule="auto"/>
        <w:jc w:val="both"/>
        <w:rPr>
          <w:rFonts w:ascii="Book Antiqua" w:hAnsi="Book Antiqua"/>
          <w:sz w:val="22"/>
          <w:szCs w:val="22"/>
        </w:rPr>
      </w:pPr>
      <w:r>
        <w:rPr>
          <w:rFonts w:ascii="Book Antiqua" w:hAnsi="Book Antiqua"/>
          <w:sz w:val="22"/>
          <w:szCs w:val="22"/>
        </w:rPr>
        <w:t>Tenuto conto delle pene che appaiono forse troppo elevate (si potrebbe ipotizzare comprendendo la necessità di applicazione delle misure cautelari custodiali una corn</w:t>
      </w:r>
      <w:r>
        <w:rPr>
          <w:rFonts w:ascii="Book Antiqua" w:hAnsi="Book Antiqua"/>
          <w:sz w:val="22"/>
          <w:szCs w:val="22"/>
        </w:rPr>
        <w:t>i</w:t>
      </w:r>
      <w:r>
        <w:rPr>
          <w:rFonts w:ascii="Book Antiqua" w:hAnsi="Book Antiqua"/>
          <w:sz w:val="22"/>
          <w:szCs w:val="22"/>
        </w:rPr>
        <w:t>ce edittale da uno a sei anni)</w:t>
      </w:r>
      <w:r w:rsidR="001F42C7">
        <w:rPr>
          <w:rFonts w:ascii="Book Antiqua" w:hAnsi="Book Antiqua"/>
          <w:sz w:val="22"/>
          <w:szCs w:val="22"/>
        </w:rPr>
        <w:t xml:space="preserve">, è possibile rilevare che </w:t>
      </w:r>
      <w:r w:rsidR="00823A33">
        <w:rPr>
          <w:rFonts w:ascii="Book Antiqua" w:hAnsi="Book Antiqua"/>
          <w:sz w:val="22"/>
          <w:szCs w:val="22"/>
        </w:rPr>
        <w:t>sono poste sullo stesso piano co</w:t>
      </w:r>
      <w:r w:rsidR="00823A33">
        <w:rPr>
          <w:rFonts w:ascii="Book Antiqua" w:hAnsi="Book Antiqua"/>
          <w:sz w:val="22"/>
          <w:szCs w:val="22"/>
        </w:rPr>
        <w:t>n</w:t>
      </w:r>
      <w:r w:rsidR="00823A33">
        <w:rPr>
          <w:rFonts w:ascii="Book Antiqua" w:hAnsi="Book Antiqua"/>
          <w:sz w:val="22"/>
          <w:szCs w:val="22"/>
        </w:rPr>
        <w:t>dotte tra loro eterogenee, sul presupposto, tacito, che sullo sfondo vi siano sodalizi criminali che si occupano di tale attività.</w:t>
      </w:r>
    </w:p>
    <w:p w14:paraId="79E1ABDD" w14:textId="77777777" w:rsidR="00DD3422" w:rsidRDefault="00DD3422" w:rsidP="0092761F">
      <w:pPr>
        <w:suppressAutoHyphens w:val="0"/>
        <w:spacing w:after="0" w:line="240" w:lineRule="auto"/>
        <w:jc w:val="both"/>
        <w:rPr>
          <w:rFonts w:ascii="Book Antiqua" w:hAnsi="Book Antiqua"/>
          <w:sz w:val="22"/>
          <w:szCs w:val="22"/>
        </w:rPr>
      </w:pPr>
    </w:p>
    <w:p w14:paraId="37102728" w14:textId="45FD5B92" w:rsidR="00DD3422" w:rsidRDefault="00DD3422" w:rsidP="0092761F">
      <w:pPr>
        <w:suppressAutoHyphens w:val="0"/>
        <w:spacing w:after="0" w:line="240" w:lineRule="auto"/>
        <w:jc w:val="both"/>
        <w:rPr>
          <w:rFonts w:ascii="Book Antiqua" w:hAnsi="Book Antiqua"/>
          <w:sz w:val="22"/>
          <w:szCs w:val="22"/>
        </w:rPr>
      </w:pPr>
      <w:r>
        <w:rPr>
          <w:rFonts w:ascii="Book Antiqua" w:hAnsi="Book Antiqua"/>
          <w:sz w:val="22"/>
          <w:szCs w:val="22"/>
        </w:rPr>
        <w:t>In particolare “</w:t>
      </w:r>
      <w:r w:rsidRPr="006559B6">
        <w:rPr>
          <w:rFonts w:ascii="Book Antiqua" w:hAnsi="Book Antiqua"/>
          <w:sz w:val="22"/>
          <w:szCs w:val="22"/>
        </w:rPr>
        <w:t>mediante violenza o minaccia, occupano o detengono senza titolo un immobile destinato a domicilio altrui, ovvero impediscono il rientro nel medesimo immobile da parte del proprietario o di colui che lo detiene legittimamente</w:t>
      </w:r>
      <w:r>
        <w:rPr>
          <w:rFonts w:ascii="Book Antiqua" w:hAnsi="Book Antiqua"/>
          <w:sz w:val="22"/>
          <w:szCs w:val="22"/>
        </w:rPr>
        <w:t xml:space="preserve">”. </w:t>
      </w:r>
    </w:p>
    <w:p w14:paraId="1FB8CE24" w14:textId="77777777" w:rsidR="00DD3422" w:rsidRDefault="00DD3422" w:rsidP="0092761F">
      <w:pPr>
        <w:suppressAutoHyphens w:val="0"/>
        <w:spacing w:after="0" w:line="240" w:lineRule="auto"/>
        <w:jc w:val="both"/>
        <w:rPr>
          <w:rFonts w:ascii="Book Antiqua" w:hAnsi="Book Antiqua"/>
          <w:sz w:val="22"/>
          <w:szCs w:val="22"/>
        </w:rPr>
      </w:pPr>
    </w:p>
    <w:p w14:paraId="2BE47EB5" w14:textId="4149D6F4" w:rsidR="00DD3422" w:rsidRDefault="00DD3422" w:rsidP="0092761F">
      <w:pPr>
        <w:suppressAutoHyphens w:val="0"/>
        <w:spacing w:after="0" w:line="240" w:lineRule="auto"/>
        <w:jc w:val="both"/>
        <w:rPr>
          <w:rFonts w:ascii="Book Antiqua" w:hAnsi="Book Antiqua"/>
          <w:sz w:val="22"/>
          <w:szCs w:val="22"/>
        </w:rPr>
      </w:pPr>
      <w:r>
        <w:rPr>
          <w:rFonts w:ascii="Book Antiqua" w:hAnsi="Book Antiqua"/>
          <w:sz w:val="22"/>
          <w:szCs w:val="22"/>
        </w:rPr>
        <w:lastRenderedPageBreak/>
        <w:t>O ancora “</w:t>
      </w:r>
      <w:r w:rsidRPr="006559B6">
        <w:rPr>
          <w:rFonts w:ascii="Book Antiqua" w:hAnsi="Book Antiqua"/>
          <w:sz w:val="22"/>
          <w:szCs w:val="22"/>
        </w:rPr>
        <w:t>si appropria di un immobile altrui, con artifizi o raggiri, o cede ad altri l’immobile occupato, nonché colui che - fuori dei casi di concorso nel reato - si intr</w:t>
      </w:r>
      <w:r w:rsidRPr="006559B6">
        <w:rPr>
          <w:rFonts w:ascii="Book Antiqua" w:hAnsi="Book Antiqua"/>
          <w:sz w:val="22"/>
          <w:szCs w:val="22"/>
        </w:rPr>
        <w:t>o</w:t>
      </w:r>
      <w:r w:rsidRPr="006559B6">
        <w:rPr>
          <w:rFonts w:ascii="Book Antiqua" w:hAnsi="Book Antiqua"/>
          <w:sz w:val="22"/>
          <w:szCs w:val="22"/>
        </w:rPr>
        <w:t>mette o coopera nell’occupazione dell’immobile, riceve o corrisponde denaro o altra utilità per l’occupazione</w:t>
      </w:r>
      <w:r>
        <w:rPr>
          <w:rFonts w:ascii="Book Antiqua" w:hAnsi="Book Antiqua"/>
          <w:sz w:val="22"/>
          <w:szCs w:val="22"/>
        </w:rPr>
        <w:t>”.</w:t>
      </w:r>
    </w:p>
    <w:p w14:paraId="271A9180" w14:textId="77777777" w:rsidR="00DD3422" w:rsidRDefault="00DD3422" w:rsidP="0092761F">
      <w:pPr>
        <w:suppressAutoHyphens w:val="0"/>
        <w:spacing w:after="0" w:line="240" w:lineRule="auto"/>
        <w:jc w:val="both"/>
        <w:rPr>
          <w:rFonts w:ascii="Book Antiqua" w:hAnsi="Book Antiqua"/>
          <w:sz w:val="22"/>
          <w:szCs w:val="22"/>
        </w:rPr>
      </w:pPr>
    </w:p>
    <w:p w14:paraId="41FC65E6" w14:textId="5CD0844B" w:rsidR="00DD3422" w:rsidRDefault="00DD3422" w:rsidP="0092761F">
      <w:pPr>
        <w:suppressAutoHyphens w:val="0"/>
        <w:spacing w:after="0" w:line="240" w:lineRule="auto"/>
        <w:jc w:val="both"/>
        <w:rPr>
          <w:rFonts w:ascii="Book Antiqua" w:hAnsi="Book Antiqua"/>
          <w:sz w:val="22"/>
          <w:szCs w:val="22"/>
        </w:rPr>
      </w:pPr>
      <w:r>
        <w:rPr>
          <w:rFonts w:ascii="Book Antiqua" w:hAnsi="Book Antiqua"/>
          <w:sz w:val="22"/>
          <w:szCs w:val="22"/>
        </w:rPr>
        <w:t>Orbene, tale equiparazione non appare del tutto ragionevole</w:t>
      </w:r>
      <w:r w:rsidR="002A12D9">
        <w:rPr>
          <w:rFonts w:ascii="Book Antiqua" w:hAnsi="Book Antiqua"/>
          <w:sz w:val="22"/>
          <w:szCs w:val="22"/>
        </w:rPr>
        <w:t>, trattandosi di fattispecie di disvalore non omogeneo</w:t>
      </w:r>
      <w:r>
        <w:rPr>
          <w:rFonts w:ascii="Book Antiqua" w:hAnsi="Book Antiqua"/>
          <w:sz w:val="22"/>
          <w:szCs w:val="22"/>
        </w:rPr>
        <w:t xml:space="preserve">. </w:t>
      </w:r>
    </w:p>
    <w:p w14:paraId="57121260" w14:textId="77777777" w:rsidR="002A12D9" w:rsidRDefault="002A12D9" w:rsidP="0092761F">
      <w:pPr>
        <w:suppressAutoHyphens w:val="0"/>
        <w:spacing w:after="0" w:line="240" w:lineRule="auto"/>
        <w:jc w:val="both"/>
        <w:rPr>
          <w:rFonts w:ascii="Book Antiqua" w:hAnsi="Book Antiqua"/>
          <w:sz w:val="22"/>
          <w:szCs w:val="22"/>
        </w:rPr>
      </w:pPr>
    </w:p>
    <w:p w14:paraId="5C67634F" w14:textId="360529C6" w:rsidR="00C44962" w:rsidRDefault="00C44962" w:rsidP="0092761F">
      <w:pPr>
        <w:suppressAutoHyphens w:val="0"/>
        <w:spacing w:after="0" w:line="240" w:lineRule="auto"/>
        <w:jc w:val="both"/>
        <w:rPr>
          <w:rFonts w:ascii="Book Antiqua" w:hAnsi="Book Antiqua"/>
          <w:sz w:val="22"/>
          <w:szCs w:val="22"/>
        </w:rPr>
      </w:pPr>
      <w:r>
        <w:rPr>
          <w:rFonts w:ascii="Book Antiqua" w:hAnsi="Book Antiqua"/>
          <w:sz w:val="22"/>
          <w:szCs w:val="22"/>
        </w:rPr>
        <w:t>Rispetto al problema di contesto, vale a dire all’idea che le condotte siano legate alla criminalità associata, giova rilevare che in ogni caso è possibile, sussistendone i pr</w:t>
      </w:r>
      <w:r>
        <w:rPr>
          <w:rFonts w:ascii="Book Antiqua" w:hAnsi="Book Antiqua"/>
          <w:sz w:val="22"/>
          <w:szCs w:val="22"/>
        </w:rPr>
        <w:t>e</w:t>
      </w:r>
      <w:r>
        <w:rPr>
          <w:rFonts w:ascii="Book Antiqua" w:hAnsi="Book Antiqua"/>
          <w:sz w:val="22"/>
          <w:szCs w:val="22"/>
        </w:rPr>
        <w:t xml:space="preserve">supposti, la contestazione della aggravante ex art. 416 bis. 1 c.p., che nella declinazione del metodo mafioso non richiede necessariamente l’appartenenza ad un clan. </w:t>
      </w:r>
    </w:p>
    <w:p w14:paraId="5B6BEB94" w14:textId="77777777" w:rsidR="00C44962" w:rsidRDefault="00C44962" w:rsidP="0092761F">
      <w:pPr>
        <w:suppressAutoHyphens w:val="0"/>
        <w:spacing w:after="0" w:line="240" w:lineRule="auto"/>
        <w:jc w:val="both"/>
        <w:rPr>
          <w:rFonts w:ascii="Book Antiqua" w:hAnsi="Book Antiqua"/>
          <w:sz w:val="22"/>
          <w:szCs w:val="22"/>
        </w:rPr>
      </w:pPr>
    </w:p>
    <w:p w14:paraId="20A31556" w14:textId="0559A718" w:rsidR="002A12D9" w:rsidRDefault="002A12D9" w:rsidP="0092761F">
      <w:pPr>
        <w:suppressAutoHyphens w:val="0"/>
        <w:spacing w:after="0" w:line="240" w:lineRule="auto"/>
        <w:jc w:val="both"/>
        <w:rPr>
          <w:rFonts w:ascii="Book Antiqua" w:hAnsi="Book Antiqua"/>
          <w:sz w:val="22"/>
          <w:szCs w:val="22"/>
        </w:rPr>
      </w:pPr>
      <w:r>
        <w:rPr>
          <w:rFonts w:ascii="Book Antiqua" w:hAnsi="Book Antiqua"/>
          <w:sz w:val="22"/>
          <w:szCs w:val="22"/>
        </w:rPr>
        <w:t>Problemi può poi creare la nozione di detenzione, che può determinare sovrapposizi</w:t>
      </w:r>
      <w:r>
        <w:rPr>
          <w:rFonts w:ascii="Book Antiqua" w:hAnsi="Book Antiqua"/>
          <w:sz w:val="22"/>
          <w:szCs w:val="22"/>
        </w:rPr>
        <w:t>o</w:t>
      </w:r>
      <w:r>
        <w:rPr>
          <w:rFonts w:ascii="Book Antiqua" w:hAnsi="Book Antiqua"/>
          <w:sz w:val="22"/>
          <w:szCs w:val="22"/>
        </w:rPr>
        <w:t xml:space="preserve">ne con le nozioni civilistiche (ad es. il resistente di una procedura di sfratto). </w:t>
      </w:r>
    </w:p>
    <w:p w14:paraId="03813603" w14:textId="77777777" w:rsidR="002A12D9" w:rsidRDefault="002A12D9" w:rsidP="0092761F">
      <w:pPr>
        <w:suppressAutoHyphens w:val="0"/>
        <w:spacing w:after="0" w:line="240" w:lineRule="auto"/>
        <w:jc w:val="both"/>
        <w:rPr>
          <w:rFonts w:ascii="Book Antiqua" w:hAnsi="Book Antiqua"/>
          <w:sz w:val="22"/>
          <w:szCs w:val="22"/>
        </w:rPr>
      </w:pPr>
    </w:p>
    <w:p w14:paraId="510A09EB" w14:textId="117A1236" w:rsidR="002A12D9" w:rsidRDefault="002A12D9" w:rsidP="0092761F">
      <w:pPr>
        <w:suppressAutoHyphens w:val="0"/>
        <w:spacing w:after="0" w:line="240" w:lineRule="auto"/>
        <w:jc w:val="both"/>
        <w:rPr>
          <w:rFonts w:ascii="Book Antiqua" w:hAnsi="Book Antiqua"/>
          <w:sz w:val="22"/>
          <w:szCs w:val="22"/>
        </w:rPr>
      </w:pPr>
      <w:r>
        <w:rPr>
          <w:rFonts w:ascii="Book Antiqua" w:hAnsi="Book Antiqua"/>
          <w:sz w:val="22"/>
          <w:szCs w:val="22"/>
        </w:rPr>
        <w:t xml:space="preserve">Sarebbe tuttavia possibile valorizzare le nozioni di violenza o minaccia. </w:t>
      </w:r>
    </w:p>
    <w:p w14:paraId="4E2A2828" w14:textId="77777777" w:rsidR="002A12D9" w:rsidRDefault="002A12D9" w:rsidP="0092761F">
      <w:pPr>
        <w:suppressAutoHyphens w:val="0"/>
        <w:spacing w:after="0" w:line="240" w:lineRule="auto"/>
        <w:jc w:val="both"/>
        <w:rPr>
          <w:rFonts w:ascii="Book Antiqua" w:hAnsi="Book Antiqua"/>
          <w:sz w:val="22"/>
          <w:szCs w:val="22"/>
        </w:rPr>
      </w:pPr>
    </w:p>
    <w:p w14:paraId="15627A24" w14:textId="43A9C9F1" w:rsidR="002A12D9" w:rsidRDefault="002A12D9" w:rsidP="0092761F">
      <w:pPr>
        <w:suppressAutoHyphens w:val="0"/>
        <w:spacing w:after="0" w:line="240" w:lineRule="auto"/>
        <w:jc w:val="both"/>
        <w:rPr>
          <w:rFonts w:ascii="Book Antiqua" w:hAnsi="Book Antiqua"/>
          <w:sz w:val="22"/>
          <w:szCs w:val="22"/>
        </w:rPr>
      </w:pPr>
      <w:r>
        <w:rPr>
          <w:rFonts w:ascii="Book Antiqua" w:hAnsi="Book Antiqua"/>
          <w:sz w:val="22"/>
          <w:szCs w:val="22"/>
        </w:rPr>
        <w:t>Ancora problematico è il riferimento all’appropriazione mediante artifizi o raggiri, di</w:t>
      </w:r>
      <w:r>
        <w:rPr>
          <w:rFonts w:ascii="Book Antiqua" w:hAnsi="Book Antiqua"/>
          <w:sz w:val="22"/>
          <w:szCs w:val="22"/>
        </w:rPr>
        <w:t>f</w:t>
      </w:r>
      <w:r>
        <w:rPr>
          <w:rFonts w:ascii="Book Antiqua" w:hAnsi="Book Antiqua"/>
          <w:sz w:val="22"/>
          <w:szCs w:val="22"/>
        </w:rPr>
        <w:t>ficilmente riscontrabile nella realtà fenomenica senza una sovrapposizione con la tru</w:t>
      </w:r>
      <w:r>
        <w:rPr>
          <w:rFonts w:ascii="Book Antiqua" w:hAnsi="Book Antiqua"/>
          <w:sz w:val="22"/>
          <w:szCs w:val="22"/>
        </w:rPr>
        <w:t>f</w:t>
      </w:r>
      <w:r>
        <w:rPr>
          <w:rFonts w:ascii="Book Antiqua" w:hAnsi="Book Antiqua"/>
          <w:sz w:val="22"/>
          <w:szCs w:val="22"/>
        </w:rPr>
        <w:t xml:space="preserve">fa. </w:t>
      </w:r>
    </w:p>
    <w:p w14:paraId="3BAB1C9F" w14:textId="77777777" w:rsidR="00DD3422" w:rsidRDefault="00DD3422" w:rsidP="0092761F">
      <w:pPr>
        <w:suppressAutoHyphens w:val="0"/>
        <w:spacing w:after="0" w:line="240" w:lineRule="auto"/>
        <w:jc w:val="both"/>
        <w:rPr>
          <w:rFonts w:ascii="Book Antiqua" w:hAnsi="Book Antiqua"/>
          <w:sz w:val="22"/>
          <w:szCs w:val="22"/>
        </w:rPr>
      </w:pPr>
    </w:p>
    <w:p w14:paraId="15F05764" w14:textId="45793241" w:rsidR="00DD3422" w:rsidRDefault="00DD3422" w:rsidP="0092761F">
      <w:pPr>
        <w:suppressAutoHyphens w:val="0"/>
        <w:spacing w:after="0" w:line="240" w:lineRule="auto"/>
        <w:jc w:val="both"/>
        <w:rPr>
          <w:rFonts w:ascii="Book Antiqua" w:hAnsi="Book Antiqua"/>
          <w:sz w:val="22"/>
          <w:szCs w:val="22"/>
        </w:rPr>
      </w:pPr>
      <w:r>
        <w:rPr>
          <w:rFonts w:ascii="Book Antiqua" w:hAnsi="Book Antiqua"/>
          <w:sz w:val="22"/>
          <w:szCs w:val="22"/>
        </w:rPr>
        <w:t xml:space="preserve">Peraltro, in </w:t>
      </w:r>
      <w:r w:rsidR="002A12D9">
        <w:rPr>
          <w:rFonts w:ascii="Book Antiqua" w:hAnsi="Book Antiqua"/>
          <w:sz w:val="22"/>
          <w:szCs w:val="22"/>
        </w:rPr>
        <w:t>generale, sarebbe stato opportuno inserire nuovi commi nelle fattispecie di cui agli artt. 633 e 634, con pena proporzionalmente discendenti.</w:t>
      </w:r>
      <w:r>
        <w:rPr>
          <w:rFonts w:ascii="Book Antiqua" w:hAnsi="Book Antiqua"/>
          <w:sz w:val="22"/>
          <w:szCs w:val="22"/>
        </w:rPr>
        <w:t xml:space="preserve"> </w:t>
      </w:r>
    </w:p>
    <w:p w14:paraId="33B5EEEE" w14:textId="1E7C4B96" w:rsidR="00CF38D1" w:rsidRDefault="00CF38D1" w:rsidP="0092761F">
      <w:pPr>
        <w:suppressAutoHyphens w:val="0"/>
        <w:spacing w:after="0" w:line="240" w:lineRule="auto"/>
        <w:jc w:val="both"/>
        <w:rPr>
          <w:rFonts w:ascii="Book Antiqua" w:hAnsi="Book Antiqua"/>
          <w:sz w:val="22"/>
          <w:szCs w:val="22"/>
        </w:rPr>
      </w:pPr>
    </w:p>
    <w:p w14:paraId="03EA8B3F" w14:textId="49B672F1" w:rsidR="00387B82" w:rsidRDefault="00387B82" w:rsidP="0092761F">
      <w:pPr>
        <w:suppressAutoHyphens w:val="0"/>
        <w:spacing w:after="0" w:line="240" w:lineRule="auto"/>
        <w:jc w:val="both"/>
        <w:rPr>
          <w:rFonts w:ascii="Book Antiqua" w:hAnsi="Book Antiqua"/>
          <w:sz w:val="22"/>
          <w:szCs w:val="22"/>
        </w:rPr>
      </w:pPr>
      <w:r>
        <w:rPr>
          <w:rFonts w:ascii="Book Antiqua" w:hAnsi="Book Antiqua"/>
          <w:sz w:val="22"/>
          <w:szCs w:val="22"/>
        </w:rPr>
        <w:t>Va salutata con favore l’ipotesi di non punibilità.</w:t>
      </w:r>
    </w:p>
    <w:p w14:paraId="57EC95E0" w14:textId="77777777" w:rsidR="00387B82" w:rsidRDefault="00387B82" w:rsidP="0092761F">
      <w:pPr>
        <w:suppressAutoHyphens w:val="0"/>
        <w:spacing w:after="0" w:line="240" w:lineRule="auto"/>
        <w:jc w:val="both"/>
        <w:rPr>
          <w:rFonts w:ascii="Book Antiqua" w:hAnsi="Book Antiqua"/>
          <w:sz w:val="22"/>
          <w:szCs w:val="22"/>
        </w:rPr>
      </w:pPr>
    </w:p>
    <w:p w14:paraId="7D4304D6" w14:textId="77777777" w:rsidR="002A12D9" w:rsidRDefault="00CF38D1" w:rsidP="0092761F">
      <w:pPr>
        <w:suppressAutoHyphens w:val="0"/>
        <w:spacing w:after="0" w:line="240" w:lineRule="auto"/>
        <w:jc w:val="both"/>
        <w:rPr>
          <w:rFonts w:ascii="Book Antiqua" w:hAnsi="Book Antiqua"/>
          <w:sz w:val="22"/>
          <w:szCs w:val="22"/>
        </w:rPr>
      </w:pPr>
      <w:r>
        <w:rPr>
          <w:rFonts w:ascii="Book Antiqua" w:hAnsi="Book Antiqua"/>
          <w:sz w:val="22"/>
          <w:szCs w:val="22"/>
        </w:rPr>
        <w:t>L’</w:t>
      </w:r>
      <w:r w:rsidR="00450C03" w:rsidRPr="006559B6">
        <w:rPr>
          <w:rFonts w:ascii="Book Antiqua" w:hAnsi="Book Antiqua"/>
          <w:sz w:val="22"/>
          <w:szCs w:val="22"/>
        </w:rPr>
        <w:t xml:space="preserve">intervento non si limita </w:t>
      </w:r>
      <w:r w:rsidR="002A12D9">
        <w:rPr>
          <w:rFonts w:ascii="Book Antiqua" w:hAnsi="Book Antiqua"/>
          <w:sz w:val="22"/>
          <w:szCs w:val="22"/>
        </w:rPr>
        <w:t xml:space="preserve">poi </w:t>
      </w:r>
      <w:r w:rsidR="00450C03" w:rsidRPr="006559B6">
        <w:rPr>
          <w:rFonts w:ascii="Book Antiqua" w:hAnsi="Book Antiqua"/>
          <w:sz w:val="22"/>
          <w:szCs w:val="22"/>
        </w:rPr>
        <w:t xml:space="preserve">a prevedere la nuova fattispecie delittuosa, ma al comma 3 si occupa altresì di riconnettere alla stessa una specifica e dedicata azione di tutela, introducendo nel codice di procedura penale una procedura volta alla reintegrazione nel possesso dell’immobile “oggetto di occupazione arbitraria ai sensi dell’articolo 634-bis del codice penale”. </w:t>
      </w:r>
    </w:p>
    <w:p w14:paraId="798053E7" w14:textId="77777777" w:rsidR="002A12D9" w:rsidRDefault="002A12D9" w:rsidP="0092761F">
      <w:pPr>
        <w:suppressAutoHyphens w:val="0"/>
        <w:spacing w:after="0" w:line="240" w:lineRule="auto"/>
        <w:jc w:val="both"/>
        <w:rPr>
          <w:rFonts w:ascii="Book Antiqua" w:hAnsi="Book Antiqua"/>
          <w:sz w:val="22"/>
          <w:szCs w:val="22"/>
        </w:rPr>
      </w:pPr>
    </w:p>
    <w:p w14:paraId="1D27A498" w14:textId="77777777" w:rsidR="002A12D9" w:rsidRDefault="00450C03" w:rsidP="0092761F">
      <w:pPr>
        <w:suppressAutoHyphens w:val="0"/>
        <w:spacing w:after="0" w:line="240" w:lineRule="auto"/>
        <w:jc w:val="both"/>
        <w:rPr>
          <w:rFonts w:ascii="Book Antiqua" w:hAnsi="Book Antiqua"/>
          <w:sz w:val="22"/>
          <w:szCs w:val="22"/>
        </w:rPr>
      </w:pPr>
      <w:r w:rsidRPr="006559B6">
        <w:rPr>
          <w:rFonts w:ascii="Book Antiqua" w:hAnsi="Book Antiqua"/>
          <w:sz w:val="22"/>
          <w:szCs w:val="22"/>
        </w:rPr>
        <w:t xml:space="preserve">Più in dettaglio, nel citato comma 3 si prevede, per effetto dell’introducendo articolo 321-bis c.p.p., che il giudice competente - su richiesta del pubblico ministero - dispone con decreto motivato la reintegrazione nel possesso dell’immobile. </w:t>
      </w:r>
    </w:p>
    <w:p w14:paraId="41F29676" w14:textId="77777777" w:rsidR="002A12D9" w:rsidRDefault="002A12D9" w:rsidP="0092761F">
      <w:pPr>
        <w:suppressAutoHyphens w:val="0"/>
        <w:spacing w:after="0" w:line="240" w:lineRule="auto"/>
        <w:jc w:val="both"/>
        <w:rPr>
          <w:rFonts w:ascii="Book Antiqua" w:hAnsi="Book Antiqua"/>
          <w:sz w:val="22"/>
          <w:szCs w:val="22"/>
        </w:rPr>
      </w:pPr>
    </w:p>
    <w:p w14:paraId="48A4F3EA" w14:textId="77777777" w:rsidR="002A12D9" w:rsidRDefault="00450C03" w:rsidP="0092761F">
      <w:pPr>
        <w:suppressAutoHyphens w:val="0"/>
        <w:spacing w:after="0" w:line="240" w:lineRule="auto"/>
        <w:jc w:val="both"/>
        <w:rPr>
          <w:rFonts w:ascii="Book Antiqua" w:hAnsi="Book Antiqua"/>
          <w:sz w:val="22"/>
          <w:szCs w:val="22"/>
        </w:rPr>
      </w:pPr>
      <w:r w:rsidRPr="006559B6">
        <w:rPr>
          <w:rFonts w:ascii="Book Antiqua" w:hAnsi="Book Antiqua"/>
          <w:sz w:val="22"/>
          <w:szCs w:val="22"/>
        </w:rPr>
        <w:t>Nella fase antecedente all’esercizio dell’azione penale, provvede il giudice per le ind</w:t>
      </w:r>
      <w:r w:rsidRPr="006559B6">
        <w:rPr>
          <w:rFonts w:ascii="Book Antiqua" w:hAnsi="Book Antiqua"/>
          <w:sz w:val="22"/>
          <w:szCs w:val="22"/>
        </w:rPr>
        <w:t>a</w:t>
      </w:r>
      <w:r w:rsidRPr="006559B6">
        <w:rPr>
          <w:rFonts w:ascii="Book Antiqua" w:hAnsi="Book Antiqua"/>
          <w:sz w:val="22"/>
          <w:szCs w:val="22"/>
        </w:rPr>
        <w:t xml:space="preserve">gini preliminari. </w:t>
      </w:r>
    </w:p>
    <w:p w14:paraId="38B0A72F" w14:textId="77777777" w:rsidR="002A12D9" w:rsidRDefault="002A12D9" w:rsidP="0092761F">
      <w:pPr>
        <w:suppressAutoHyphens w:val="0"/>
        <w:spacing w:after="0" w:line="240" w:lineRule="auto"/>
        <w:jc w:val="both"/>
        <w:rPr>
          <w:rFonts w:ascii="Book Antiqua" w:hAnsi="Book Antiqua"/>
          <w:sz w:val="22"/>
          <w:szCs w:val="22"/>
        </w:rPr>
      </w:pPr>
    </w:p>
    <w:p w14:paraId="692C391D" w14:textId="77777777" w:rsidR="002A12D9" w:rsidRDefault="00450C03" w:rsidP="0092761F">
      <w:pPr>
        <w:suppressAutoHyphens w:val="0"/>
        <w:spacing w:after="0" w:line="240" w:lineRule="auto"/>
        <w:jc w:val="both"/>
        <w:rPr>
          <w:rFonts w:ascii="Book Antiqua" w:hAnsi="Book Antiqua"/>
          <w:sz w:val="22"/>
          <w:szCs w:val="22"/>
        </w:rPr>
      </w:pPr>
      <w:r w:rsidRPr="006559B6">
        <w:rPr>
          <w:rFonts w:ascii="Book Antiqua" w:hAnsi="Book Antiqua"/>
          <w:sz w:val="22"/>
          <w:szCs w:val="22"/>
        </w:rPr>
        <w:t>Se l’immobile occupato corrisponde all’unica abitazione effettiva del denunciante, gli ufficiali di polizia giudiziaria che ricevono la denuncia, espletati i primi accertamenti tesi a verificare la sussistenza dell’arbitrarietà dell’occupazione, si recano - senza rita</w:t>
      </w:r>
      <w:r w:rsidRPr="006559B6">
        <w:rPr>
          <w:rFonts w:ascii="Book Antiqua" w:hAnsi="Book Antiqua"/>
          <w:sz w:val="22"/>
          <w:szCs w:val="22"/>
        </w:rPr>
        <w:t>r</w:t>
      </w:r>
      <w:r w:rsidRPr="006559B6">
        <w:rPr>
          <w:rFonts w:ascii="Book Antiqua" w:hAnsi="Book Antiqua"/>
          <w:sz w:val="22"/>
          <w:szCs w:val="22"/>
        </w:rPr>
        <w:t xml:space="preserve">do - presso l'immobile del quale il denunciante dichiara di essere stato spossessato, al fine di svolgere le consuete attività di polizia giudiziaria. </w:t>
      </w:r>
    </w:p>
    <w:p w14:paraId="4101039D" w14:textId="77777777" w:rsidR="002A12D9" w:rsidRDefault="002A12D9" w:rsidP="0092761F">
      <w:pPr>
        <w:suppressAutoHyphens w:val="0"/>
        <w:spacing w:after="0" w:line="240" w:lineRule="auto"/>
        <w:jc w:val="both"/>
        <w:rPr>
          <w:rFonts w:ascii="Book Antiqua" w:hAnsi="Book Antiqua"/>
          <w:sz w:val="22"/>
          <w:szCs w:val="22"/>
        </w:rPr>
      </w:pPr>
    </w:p>
    <w:p w14:paraId="7AC48E69" w14:textId="6097F78F" w:rsidR="00450C03" w:rsidRPr="006559B6" w:rsidRDefault="00450C03" w:rsidP="0092761F">
      <w:pPr>
        <w:suppressAutoHyphens w:val="0"/>
        <w:spacing w:after="0" w:line="240" w:lineRule="auto"/>
        <w:jc w:val="both"/>
        <w:rPr>
          <w:rFonts w:ascii="Book Antiqua" w:hAnsi="Book Antiqua"/>
          <w:sz w:val="22"/>
          <w:szCs w:val="22"/>
        </w:rPr>
      </w:pPr>
      <w:r w:rsidRPr="006559B6">
        <w:rPr>
          <w:rFonts w:ascii="Book Antiqua" w:hAnsi="Book Antiqua"/>
          <w:sz w:val="22"/>
          <w:szCs w:val="22"/>
        </w:rPr>
        <w:t>Qualora dovessero sussistere fondati motivi per ritenere l’arbitrarietà dell’occupazione, gli ufficiali di polizia giudiziaria ordinano all’occupante l'immediato rilascio dell'i</w:t>
      </w:r>
      <w:r w:rsidRPr="006559B6">
        <w:rPr>
          <w:rFonts w:ascii="Book Antiqua" w:hAnsi="Book Antiqua"/>
          <w:sz w:val="22"/>
          <w:szCs w:val="22"/>
        </w:rPr>
        <w:t>m</w:t>
      </w:r>
      <w:r w:rsidRPr="006559B6">
        <w:rPr>
          <w:rFonts w:ascii="Book Antiqua" w:hAnsi="Book Antiqua"/>
          <w:sz w:val="22"/>
          <w:szCs w:val="22"/>
        </w:rPr>
        <w:t xml:space="preserve">mobile e contestualmente reintegrano il denunciante nel possesso. In caso di diniego </w:t>
      </w:r>
      <w:r w:rsidRPr="006559B6">
        <w:rPr>
          <w:rFonts w:ascii="Book Antiqua" w:hAnsi="Book Antiqua"/>
          <w:sz w:val="22"/>
          <w:szCs w:val="22"/>
        </w:rPr>
        <w:lastRenderedPageBreak/>
        <w:t xml:space="preserve">all'accesso, resistenza, rifiuto di eseguire l’ordine di rilascio o assenza dell’occupante, i predetti ufficiali di </w:t>
      </w:r>
      <w:proofErr w:type="spellStart"/>
      <w:r w:rsidRPr="006559B6">
        <w:rPr>
          <w:rFonts w:ascii="Book Antiqua" w:hAnsi="Book Antiqua"/>
          <w:sz w:val="22"/>
          <w:szCs w:val="22"/>
        </w:rPr>
        <w:t>p.g.</w:t>
      </w:r>
      <w:proofErr w:type="spellEnd"/>
      <w:r w:rsidRPr="006559B6">
        <w:rPr>
          <w:rFonts w:ascii="Book Antiqua" w:hAnsi="Book Antiqua"/>
          <w:sz w:val="22"/>
          <w:szCs w:val="22"/>
        </w:rPr>
        <w:t>, ove sussistano fondati motivi per ritenere l’arbitrarietà dell’occupazione, dispongono coattivamente il rilascio dell'immobile e reintegrano il denunciante nel possesso, previa autorizzazione del pubblico ministero.</w:t>
      </w:r>
    </w:p>
    <w:p w14:paraId="626B6C45" w14:textId="77777777" w:rsidR="002A12D9" w:rsidRDefault="002A12D9" w:rsidP="0092761F">
      <w:pPr>
        <w:suppressAutoHyphens w:val="0"/>
        <w:spacing w:after="0" w:line="240" w:lineRule="auto"/>
        <w:jc w:val="both"/>
        <w:rPr>
          <w:rFonts w:ascii="Book Antiqua" w:hAnsi="Book Antiqua"/>
          <w:sz w:val="22"/>
          <w:szCs w:val="22"/>
        </w:rPr>
      </w:pPr>
    </w:p>
    <w:p w14:paraId="72134E59" w14:textId="5EF46FA1" w:rsidR="00450C03" w:rsidRDefault="00450C03" w:rsidP="0092761F">
      <w:pPr>
        <w:suppressAutoHyphens w:val="0"/>
        <w:spacing w:after="0" w:line="240" w:lineRule="auto"/>
        <w:jc w:val="both"/>
        <w:rPr>
          <w:rFonts w:ascii="Book Antiqua" w:hAnsi="Book Antiqua"/>
          <w:sz w:val="22"/>
          <w:szCs w:val="22"/>
        </w:rPr>
      </w:pPr>
      <w:r w:rsidRPr="006559B6">
        <w:rPr>
          <w:rFonts w:ascii="Book Antiqua" w:hAnsi="Book Antiqua"/>
          <w:sz w:val="22"/>
          <w:szCs w:val="22"/>
        </w:rPr>
        <w:t>Tale autorizzazione deve essere scritta, oppure resa oralmente e confermata per iscri</w:t>
      </w:r>
      <w:r w:rsidRPr="006559B6">
        <w:rPr>
          <w:rFonts w:ascii="Book Antiqua" w:hAnsi="Book Antiqua"/>
          <w:sz w:val="22"/>
          <w:szCs w:val="22"/>
        </w:rPr>
        <w:t>t</w:t>
      </w:r>
      <w:r w:rsidRPr="006559B6">
        <w:rPr>
          <w:rFonts w:ascii="Book Antiqua" w:hAnsi="Book Antiqua"/>
          <w:sz w:val="22"/>
          <w:szCs w:val="22"/>
        </w:rPr>
        <w:t>to, ovvero resa per via telematica. Inoltre, ai medesimi ufficiali spetta l’onere di redig</w:t>
      </w:r>
      <w:r w:rsidRPr="006559B6">
        <w:rPr>
          <w:rFonts w:ascii="Book Antiqua" w:hAnsi="Book Antiqua"/>
          <w:sz w:val="22"/>
          <w:szCs w:val="22"/>
        </w:rPr>
        <w:t>e</w:t>
      </w:r>
      <w:r w:rsidRPr="006559B6">
        <w:rPr>
          <w:rFonts w:ascii="Book Antiqua" w:hAnsi="Book Antiqua"/>
          <w:sz w:val="22"/>
          <w:szCs w:val="22"/>
        </w:rPr>
        <w:t>re il verbale delle attività svolte - dal quale devono risultare i motivi che hanno portato al provvedimento di rilascio - e di consegnarne copia alla persona destinataria dell’ordine di rilascio. Il verbale deve essere poi trasmesso, nelle quarantotto ore su</w:t>
      </w:r>
      <w:r w:rsidRPr="006559B6">
        <w:rPr>
          <w:rFonts w:ascii="Book Antiqua" w:hAnsi="Book Antiqua"/>
          <w:sz w:val="22"/>
          <w:szCs w:val="22"/>
        </w:rPr>
        <w:t>c</w:t>
      </w:r>
      <w:r w:rsidRPr="006559B6">
        <w:rPr>
          <w:rFonts w:ascii="Book Antiqua" w:hAnsi="Book Antiqua"/>
          <w:sz w:val="22"/>
          <w:szCs w:val="22"/>
        </w:rPr>
        <w:t>cessive, al pubblico ministero del luogo in cui la reintegrazione del possesso è avven</w:t>
      </w:r>
      <w:r w:rsidRPr="006559B6">
        <w:rPr>
          <w:rFonts w:ascii="Book Antiqua" w:hAnsi="Book Antiqua"/>
          <w:sz w:val="22"/>
          <w:szCs w:val="22"/>
        </w:rPr>
        <w:t>u</w:t>
      </w:r>
      <w:r w:rsidRPr="006559B6">
        <w:rPr>
          <w:rFonts w:ascii="Book Antiqua" w:hAnsi="Book Antiqua"/>
          <w:sz w:val="22"/>
          <w:szCs w:val="22"/>
        </w:rPr>
        <w:t>ta. Se il pubblico ministero non dispone la restituzione dell'immobile al destinatario dell’ordine di rilascio, chiede al giudice la convalida e l'emissione di un decreto di rei</w:t>
      </w:r>
      <w:r w:rsidRPr="006559B6">
        <w:rPr>
          <w:rFonts w:ascii="Book Antiqua" w:hAnsi="Book Antiqua"/>
          <w:sz w:val="22"/>
          <w:szCs w:val="22"/>
        </w:rPr>
        <w:t>n</w:t>
      </w:r>
      <w:r w:rsidRPr="006559B6">
        <w:rPr>
          <w:rFonts w:ascii="Book Antiqua" w:hAnsi="Book Antiqua"/>
          <w:sz w:val="22"/>
          <w:szCs w:val="22"/>
        </w:rPr>
        <w:t>tegrazione nel possesso entro quarantotto ore dalla ricezione del verbale. Nel caso di inosservanza dei termini previsti, ovvero nei casi in cui il giudice non emette l'ordina</w:t>
      </w:r>
      <w:r w:rsidRPr="006559B6">
        <w:rPr>
          <w:rFonts w:ascii="Book Antiqua" w:hAnsi="Book Antiqua"/>
          <w:sz w:val="22"/>
          <w:szCs w:val="22"/>
        </w:rPr>
        <w:t>n</w:t>
      </w:r>
      <w:r w:rsidRPr="006559B6">
        <w:rPr>
          <w:rFonts w:ascii="Book Antiqua" w:hAnsi="Book Antiqua"/>
          <w:sz w:val="22"/>
          <w:szCs w:val="22"/>
        </w:rPr>
        <w:t>za di convalida entro dieci giorni dalla ricezione della richiesta, la reintegrazione nel possesso perde efficacia. Infine, si prevede che copia dell'ordinanza debba essere i</w:t>
      </w:r>
      <w:r w:rsidRPr="006559B6">
        <w:rPr>
          <w:rFonts w:ascii="Book Antiqua" w:hAnsi="Book Antiqua"/>
          <w:sz w:val="22"/>
          <w:szCs w:val="22"/>
        </w:rPr>
        <w:t>m</w:t>
      </w:r>
      <w:r w:rsidRPr="006559B6">
        <w:rPr>
          <w:rFonts w:ascii="Book Antiqua" w:hAnsi="Book Antiqua"/>
          <w:sz w:val="22"/>
          <w:szCs w:val="22"/>
        </w:rPr>
        <w:t>mediatamente notificata all’occupante. Le disposizioni di cui all’articolo in argomento non sono suscettibili di determinare nuovi o maggiori oneri per la finanza pubblica. Le attività contemplate sono poste in essere nell’ambito degli ordinari servizi di istituto svolti dai presidi delle Forze di polizia sul territorio.</w:t>
      </w:r>
    </w:p>
    <w:p w14:paraId="11701CAD" w14:textId="77777777" w:rsidR="002A12D9" w:rsidRDefault="002A12D9" w:rsidP="0092761F">
      <w:pPr>
        <w:suppressAutoHyphens w:val="0"/>
        <w:spacing w:after="0" w:line="240" w:lineRule="auto"/>
        <w:jc w:val="both"/>
        <w:rPr>
          <w:rFonts w:ascii="Book Antiqua" w:hAnsi="Book Antiqua"/>
          <w:sz w:val="22"/>
          <w:szCs w:val="22"/>
        </w:rPr>
      </w:pPr>
    </w:p>
    <w:p w14:paraId="0C06AFAD" w14:textId="11E7F53D" w:rsidR="002A12D9" w:rsidRPr="006559B6" w:rsidRDefault="002A12D9" w:rsidP="0092761F">
      <w:pPr>
        <w:suppressAutoHyphens w:val="0"/>
        <w:spacing w:after="0" w:line="240" w:lineRule="auto"/>
        <w:jc w:val="both"/>
        <w:rPr>
          <w:rFonts w:ascii="Book Antiqua" w:hAnsi="Book Antiqua"/>
          <w:sz w:val="22"/>
          <w:szCs w:val="22"/>
        </w:rPr>
      </w:pPr>
      <w:r>
        <w:rPr>
          <w:rFonts w:ascii="Book Antiqua" w:hAnsi="Book Antiqua"/>
          <w:sz w:val="22"/>
          <w:szCs w:val="22"/>
        </w:rPr>
        <w:t>Una procedura rapida di urgenza, appare condivisibile, con i correttivi cui si è fatto prima riferimento riguardo le norme sostanziali.</w:t>
      </w:r>
    </w:p>
    <w:p w14:paraId="5A48A61C" w14:textId="77777777" w:rsidR="00450C03" w:rsidRPr="006559B6" w:rsidRDefault="00450C03" w:rsidP="0092761F">
      <w:pPr>
        <w:suppressAutoHyphens w:val="0"/>
        <w:spacing w:after="0" w:line="240" w:lineRule="auto"/>
        <w:jc w:val="both"/>
        <w:rPr>
          <w:rFonts w:ascii="Book Antiqua" w:hAnsi="Book Antiqua"/>
          <w:sz w:val="22"/>
          <w:szCs w:val="22"/>
        </w:rPr>
      </w:pPr>
    </w:p>
    <w:p w14:paraId="078E3A4D" w14:textId="77777777" w:rsidR="006618EF" w:rsidRDefault="006618EF" w:rsidP="0092761F">
      <w:pPr>
        <w:suppressAutoHyphens w:val="0"/>
        <w:spacing w:after="0" w:line="240" w:lineRule="auto"/>
        <w:jc w:val="both"/>
        <w:rPr>
          <w:rFonts w:ascii="Book Antiqua" w:hAnsi="Book Antiqua"/>
          <w:sz w:val="22"/>
          <w:szCs w:val="22"/>
        </w:rPr>
      </w:pPr>
    </w:p>
    <w:p w14:paraId="3BA8337D" w14:textId="77777777" w:rsidR="006618EF" w:rsidRPr="00387B82" w:rsidRDefault="006618EF" w:rsidP="0092761F">
      <w:pPr>
        <w:suppressAutoHyphens w:val="0"/>
        <w:spacing w:after="0" w:line="240" w:lineRule="auto"/>
        <w:jc w:val="both"/>
        <w:rPr>
          <w:rFonts w:ascii="Book Antiqua" w:hAnsi="Book Antiqua"/>
          <w:b/>
          <w:sz w:val="22"/>
          <w:szCs w:val="22"/>
        </w:rPr>
      </w:pPr>
      <w:r w:rsidRPr="00387B82">
        <w:rPr>
          <w:rFonts w:ascii="Book Antiqua" w:hAnsi="Book Antiqua"/>
          <w:b/>
          <w:sz w:val="22"/>
          <w:szCs w:val="22"/>
        </w:rPr>
        <w:t xml:space="preserve">3. </w:t>
      </w:r>
      <w:r w:rsidR="00450C03" w:rsidRPr="00387B82">
        <w:rPr>
          <w:rFonts w:ascii="Book Antiqua" w:hAnsi="Book Antiqua"/>
          <w:b/>
          <w:sz w:val="22"/>
          <w:szCs w:val="22"/>
        </w:rPr>
        <w:t xml:space="preserve">Articolo 9 </w:t>
      </w:r>
      <w:r w:rsidRPr="00387B82">
        <w:rPr>
          <w:rFonts w:ascii="Book Antiqua" w:hAnsi="Book Antiqua"/>
          <w:b/>
          <w:sz w:val="22"/>
          <w:szCs w:val="22"/>
        </w:rPr>
        <w:t xml:space="preserve">- </w:t>
      </w:r>
      <w:r w:rsidR="00450C03" w:rsidRPr="00387B82">
        <w:rPr>
          <w:rFonts w:ascii="Book Antiqua" w:hAnsi="Book Antiqua"/>
          <w:b/>
          <w:sz w:val="22"/>
          <w:szCs w:val="22"/>
        </w:rPr>
        <w:t>Modifiche al codice penale in materia di truffa</w:t>
      </w:r>
      <w:r w:rsidRPr="00387B82">
        <w:rPr>
          <w:rFonts w:ascii="Book Antiqua" w:hAnsi="Book Antiqua"/>
          <w:b/>
          <w:sz w:val="22"/>
          <w:szCs w:val="22"/>
        </w:rPr>
        <w:t>.</w:t>
      </w:r>
      <w:r w:rsidR="00450C03" w:rsidRPr="00387B82">
        <w:rPr>
          <w:rFonts w:ascii="Book Antiqua" w:hAnsi="Book Antiqua"/>
          <w:b/>
          <w:sz w:val="22"/>
          <w:szCs w:val="22"/>
        </w:rPr>
        <w:t xml:space="preserve"> </w:t>
      </w:r>
    </w:p>
    <w:p w14:paraId="35118FB1" w14:textId="77777777" w:rsidR="006618EF" w:rsidRDefault="006618EF" w:rsidP="0092761F">
      <w:pPr>
        <w:suppressAutoHyphens w:val="0"/>
        <w:spacing w:after="0" w:line="240" w:lineRule="auto"/>
        <w:jc w:val="both"/>
        <w:rPr>
          <w:rFonts w:ascii="Book Antiqua" w:hAnsi="Book Antiqua"/>
          <w:sz w:val="22"/>
          <w:szCs w:val="22"/>
        </w:rPr>
      </w:pPr>
    </w:p>
    <w:p w14:paraId="69B339C3" w14:textId="77777777" w:rsidR="006618EF" w:rsidRDefault="006618EF" w:rsidP="0092761F">
      <w:pPr>
        <w:suppressAutoHyphens w:val="0"/>
        <w:spacing w:after="0" w:line="240" w:lineRule="auto"/>
        <w:jc w:val="both"/>
        <w:rPr>
          <w:rFonts w:ascii="Book Antiqua" w:hAnsi="Book Antiqua"/>
          <w:sz w:val="22"/>
          <w:szCs w:val="22"/>
        </w:rPr>
      </w:pPr>
      <w:r>
        <w:rPr>
          <w:rFonts w:ascii="Book Antiqua" w:hAnsi="Book Antiqua"/>
          <w:sz w:val="22"/>
          <w:szCs w:val="22"/>
        </w:rPr>
        <w:t>Condivisibile è l’intento di reprimere</w:t>
      </w:r>
      <w:r w:rsidR="00450C03" w:rsidRPr="006559B6">
        <w:rPr>
          <w:rFonts w:ascii="Book Antiqua" w:hAnsi="Book Antiqua"/>
          <w:sz w:val="22"/>
          <w:szCs w:val="22"/>
        </w:rPr>
        <w:t xml:space="preserve"> in maniera più incisiva il crescente fenomeno de</w:t>
      </w:r>
      <w:r w:rsidR="00450C03" w:rsidRPr="006559B6">
        <w:rPr>
          <w:rFonts w:ascii="Book Antiqua" w:hAnsi="Book Antiqua"/>
          <w:sz w:val="22"/>
          <w:szCs w:val="22"/>
        </w:rPr>
        <w:t>l</w:t>
      </w:r>
      <w:r w:rsidR="00450C03" w:rsidRPr="006559B6">
        <w:rPr>
          <w:rFonts w:ascii="Book Antiqua" w:hAnsi="Book Antiqua"/>
          <w:sz w:val="22"/>
          <w:szCs w:val="22"/>
        </w:rPr>
        <w:t>le truffe agli anziani, rafforzando gli strumenti di deterrenza e di repressione di tali a</w:t>
      </w:r>
      <w:r w:rsidR="00450C03" w:rsidRPr="006559B6">
        <w:rPr>
          <w:rFonts w:ascii="Book Antiqua" w:hAnsi="Book Antiqua"/>
          <w:sz w:val="22"/>
          <w:szCs w:val="22"/>
        </w:rPr>
        <w:t>l</w:t>
      </w:r>
      <w:r w:rsidR="00450C03" w:rsidRPr="006559B6">
        <w:rPr>
          <w:rFonts w:ascii="Book Antiqua" w:hAnsi="Book Antiqua"/>
          <w:sz w:val="22"/>
          <w:szCs w:val="22"/>
        </w:rPr>
        <w:t xml:space="preserve">larmanti comportamenti. </w:t>
      </w:r>
    </w:p>
    <w:p w14:paraId="11C22387" w14:textId="77777777" w:rsidR="006618EF" w:rsidRDefault="006618EF" w:rsidP="0092761F">
      <w:pPr>
        <w:suppressAutoHyphens w:val="0"/>
        <w:spacing w:after="0" w:line="240" w:lineRule="auto"/>
        <w:jc w:val="both"/>
        <w:rPr>
          <w:rFonts w:ascii="Book Antiqua" w:hAnsi="Book Antiqua"/>
          <w:sz w:val="22"/>
          <w:szCs w:val="22"/>
        </w:rPr>
      </w:pPr>
    </w:p>
    <w:p w14:paraId="0192E17B" w14:textId="77777777" w:rsidR="002C276C" w:rsidRDefault="006618EF" w:rsidP="0092761F">
      <w:pPr>
        <w:suppressAutoHyphens w:val="0"/>
        <w:spacing w:after="0" w:line="240" w:lineRule="auto"/>
        <w:jc w:val="both"/>
        <w:rPr>
          <w:rFonts w:ascii="Book Antiqua" w:hAnsi="Book Antiqua"/>
          <w:sz w:val="22"/>
          <w:szCs w:val="22"/>
        </w:rPr>
      </w:pPr>
      <w:r>
        <w:rPr>
          <w:rFonts w:ascii="Book Antiqua" w:hAnsi="Book Antiqua"/>
          <w:sz w:val="22"/>
          <w:szCs w:val="22"/>
        </w:rPr>
        <w:t>Si</w:t>
      </w:r>
      <w:r w:rsidR="00450C03" w:rsidRPr="006559B6">
        <w:rPr>
          <w:rFonts w:ascii="Book Antiqua" w:hAnsi="Book Antiqua"/>
          <w:sz w:val="22"/>
          <w:szCs w:val="22"/>
        </w:rPr>
        <w:t xml:space="preserve"> prevede, innanzitutto, al comma 1, lettera a), la soppressione dell’aggravante di cui all’art. 640, secondo comma, n. 2-bis del c.p. e la contestuale introduzione di un nuovo terzo comma recante una specifica ipotesi di truffa aggravata sanzionata più grav</w:t>
      </w:r>
      <w:r w:rsidR="00450C03" w:rsidRPr="006559B6">
        <w:rPr>
          <w:rFonts w:ascii="Book Antiqua" w:hAnsi="Book Antiqua"/>
          <w:sz w:val="22"/>
          <w:szCs w:val="22"/>
        </w:rPr>
        <w:t>e</w:t>
      </w:r>
      <w:r w:rsidR="00450C03" w:rsidRPr="006559B6">
        <w:rPr>
          <w:rFonts w:ascii="Book Antiqua" w:hAnsi="Book Antiqua"/>
          <w:sz w:val="22"/>
          <w:szCs w:val="22"/>
        </w:rPr>
        <w:t>mente delle altre ipotesi di cui al secondo comma del medesimo articolo (comma 1, le</w:t>
      </w:r>
      <w:r w:rsidR="00450C03" w:rsidRPr="006559B6">
        <w:rPr>
          <w:rFonts w:ascii="Book Antiqua" w:hAnsi="Book Antiqua"/>
          <w:sz w:val="22"/>
          <w:szCs w:val="22"/>
        </w:rPr>
        <w:t>t</w:t>
      </w:r>
      <w:r w:rsidR="00450C03" w:rsidRPr="006559B6">
        <w:rPr>
          <w:rFonts w:ascii="Book Antiqua" w:hAnsi="Book Antiqua"/>
          <w:sz w:val="22"/>
          <w:szCs w:val="22"/>
        </w:rPr>
        <w:t>tera b). Tale ipotesi si sostanzia nella condotta già prevista dal soppresso numero 2-bis - ovvero l’aver commesso il fatto in presenza dell’aggravante di cui all’articolo 61, n</w:t>
      </w:r>
      <w:r w:rsidR="00450C03" w:rsidRPr="006559B6">
        <w:rPr>
          <w:rFonts w:ascii="Book Antiqua" w:hAnsi="Book Antiqua"/>
          <w:sz w:val="22"/>
          <w:szCs w:val="22"/>
        </w:rPr>
        <w:t>u</w:t>
      </w:r>
      <w:r w:rsidR="00450C03" w:rsidRPr="006559B6">
        <w:rPr>
          <w:rFonts w:ascii="Book Antiqua" w:hAnsi="Book Antiqua"/>
          <w:sz w:val="22"/>
          <w:szCs w:val="22"/>
        </w:rPr>
        <w:t>mero 5), del c.p. (concernente l’aver profittato di circostanze di tempo, di luogo o di persona, anche in riferimento all’età, tali da ostacolare la pubblica o privata difesa) - a</w:t>
      </w:r>
      <w:r w:rsidR="00450C03" w:rsidRPr="006559B6">
        <w:rPr>
          <w:rFonts w:ascii="Book Antiqua" w:hAnsi="Book Antiqua"/>
          <w:sz w:val="22"/>
          <w:szCs w:val="22"/>
        </w:rPr>
        <w:t>l</w:t>
      </w:r>
      <w:r w:rsidR="00450C03" w:rsidRPr="006559B6">
        <w:rPr>
          <w:rFonts w:ascii="Book Antiqua" w:hAnsi="Book Antiqua"/>
          <w:sz w:val="22"/>
          <w:szCs w:val="22"/>
        </w:rPr>
        <w:t>la quale viene attribuito autonomo rilievo, nonché nell’inasprimento del relativo tra</w:t>
      </w:r>
      <w:r w:rsidR="00450C03" w:rsidRPr="006559B6">
        <w:rPr>
          <w:rFonts w:ascii="Book Antiqua" w:hAnsi="Book Antiqua"/>
          <w:sz w:val="22"/>
          <w:szCs w:val="22"/>
        </w:rPr>
        <w:t>t</w:t>
      </w:r>
      <w:r w:rsidR="00450C03" w:rsidRPr="006559B6">
        <w:rPr>
          <w:rFonts w:ascii="Book Antiqua" w:hAnsi="Book Antiqua"/>
          <w:sz w:val="22"/>
          <w:szCs w:val="22"/>
        </w:rPr>
        <w:t xml:space="preserve">tamento sanzionatorio. Ad oggi, l’aggravante di cui al numero 2-bis comporta l’applicazione della pena da 1 a 5 anni di reclusione. </w:t>
      </w:r>
    </w:p>
    <w:p w14:paraId="1E17CE01" w14:textId="77777777" w:rsidR="002C276C" w:rsidRDefault="002C276C" w:rsidP="0092761F">
      <w:pPr>
        <w:suppressAutoHyphens w:val="0"/>
        <w:spacing w:after="0" w:line="240" w:lineRule="auto"/>
        <w:jc w:val="both"/>
        <w:rPr>
          <w:rFonts w:ascii="Book Antiqua" w:hAnsi="Book Antiqua"/>
          <w:sz w:val="22"/>
          <w:szCs w:val="22"/>
        </w:rPr>
      </w:pPr>
    </w:p>
    <w:p w14:paraId="3E55CB73" w14:textId="77777777" w:rsidR="002C276C" w:rsidRDefault="00450C03" w:rsidP="0092761F">
      <w:pPr>
        <w:suppressAutoHyphens w:val="0"/>
        <w:spacing w:after="0" w:line="240" w:lineRule="auto"/>
        <w:jc w:val="both"/>
        <w:rPr>
          <w:rFonts w:ascii="Book Antiqua" w:hAnsi="Book Antiqua"/>
          <w:sz w:val="22"/>
          <w:szCs w:val="22"/>
        </w:rPr>
      </w:pPr>
      <w:r w:rsidRPr="006559B6">
        <w:rPr>
          <w:rFonts w:ascii="Book Antiqua" w:hAnsi="Book Antiqua"/>
          <w:sz w:val="22"/>
          <w:szCs w:val="22"/>
        </w:rPr>
        <w:t xml:space="preserve">Con l’intervento in argomento si mira ad innalzare i predetti limiti edittali da 2 a 6 anni e ad introdurre la multa da euro 700 a euro 3.000, consentendo così l’applicazione della misura cautelare in carcere, secondo quanto stabilito dal secondo comma dell’articolo 280 del codice di procedura penale. </w:t>
      </w:r>
    </w:p>
    <w:p w14:paraId="3760662D" w14:textId="58F6EF25" w:rsidR="002C276C" w:rsidRDefault="002C276C" w:rsidP="0092761F">
      <w:pPr>
        <w:suppressAutoHyphens w:val="0"/>
        <w:spacing w:after="0" w:line="240" w:lineRule="auto"/>
        <w:jc w:val="both"/>
        <w:rPr>
          <w:rFonts w:ascii="Book Antiqua" w:hAnsi="Book Antiqua"/>
          <w:sz w:val="22"/>
          <w:szCs w:val="22"/>
        </w:rPr>
      </w:pPr>
    </w:p>
    <w:p w14:paraId="26B12177" w14:textId="1E4C4C38" w:rsidR="002C276C" w:rsidRDefault="002C276C" w:rsidP="0092761F">
      <w:pPr>
        <w:suppressAutoHyphens w:val="0"/>
        <w:spacing w:after="0" w:line="240" w:lineRule="auto"/>
        <w:jc w:val="both"/>
        <w:rPr>
          <w:rFonts w:ascii="Book Antiqua" w:hAnsi="Book Antiqua"/>
          <w:sz w:val="22"/>
          <w:szCs w:val="22"/>
        </w:rPr>
      </w:pPr>
      <w:r>
        <w:rPr>
          <w:rFonts w:ascii="Book Antiqua" w:hAnsi="Book Antiqua"/>
          <w:sz w:val="22"/>
          <w:szCs w:val="22"/>
        </w:rPr>
        <w:lastRenderedPageBreak/>
        <w:t>Può guardarsi positivamente alla introduzione di una fattispecie autonoma, in quanto tale sottratta al giudizio di bilanciamento delle circostanze che come noto è tale da ne</w:t>
      </w:r>
      <w:r>
        <w:rPr>
          <w:rFonts w:ascii="Book Antiqua" w:hAnsi="Book Antiqua"/>
          <w:sz w:val="22"/>
          <w:szCs w:val="22"/>
        </w:rPr>
        <w:t>u</w:t>
      </w:r>
      <w:r>
        <w:rPr>
          <w:rFonts w:ascii="Book Antiqua" w:hAnsi="Book Antiqua"/>
          <w:sz w:val="22"/>
          <w:szCs w:val="22"/>
        </w:rPr>
        <w:t xml:space="preserve">tralizzare i più gravi limiti sanzionatori. </w:t>
      </w:r>
    </w:p>
    <w:p w14:paraId="653D9138" w14:textId="77777777" w:rsidR="002C276C" w:rsidRDefault="002C276C" w:rsidP="0092761F">
      <w:pPr>
        <w:suppressAutoHyphens w:val="0"/>
        <w:spacing w:after="0" w:line="240" w:lineRule="auto"/>
        <w:jc w:val="both"/>
        <w:rPr>
          <w:rFonts w:ascii="Book Antiqua" w:hAnsi="Book Antiqua"/>
          <w:sz w:val="22"/>
          <w:szCs w:val="22"/>
        </w:rPr>
      </w:pPr>
    </w:p>
    <w:p w14:paraId="329D6841" w14:textId="7F207242" w:rsidR="002C276C" w:rsidRDefault="002C276C" w:rsidP="0092761F">
      <w:pPr>
        <w:suppressAutoHyphens w:val="0"/>
        <w:spacing w:after="0" w:line="240" w:lineRule="auto"/>
        <w:jc w:val="both"/>
        <w:rPr>
          <w:rFonts w:ascii="Book Antiqua" w:hAnsi="Book Antiqua"/>
          <w:sz w:val="22"/>
          <w:szCs w:val="22"/>
        </w:rPr>
      </w:pPr>
      <w:r>
        <w:rPr>
          <w:rFonts w:ascii="Book Antiqua" w:hAnsi="Book Antiqua"/>
          <w:sz w:val="22"/>
          <w:szCs w:val="22"/>
        </w:rPr>
        <w:t>Potrebbe riflettersi sull’opportunità di eliminare il numero 2 bis, che non riguarda solo il tema delle truffe agli anziani, ma prende in considerazione tutte le ipotesi di minor</w:t>
      </w:r>
      <w:r>
        <w:rPr>
          <w:rFonts w:ascii="Book Antiqua" w:hAnsi="Book Antiqua"/>
          <w:sz w:val="22"/>
          <w:szCs w:val="22"/>
        </w:rPr>
        <w:t>a</w:t>
      </w:r>
      <w:r>
        <w:rPr>
          <w:rFonts w:ascii="Book Antiqua" w:hAnsi="Book Antiqua"/>
          <w:sz w:val="22"/>
          <w:szCs w:val="22"/>
        </w:rPr>
        <w:t xml:space="preserve">ta difesa. </w:t>
      </w:r>
    </w:p>
    <w:p w14:paraId="554D1725" w14:textId="77777777" w:rsidR="002C276C" w:rsidRDefault="002C276C" w:rsidP="0092761F">
      <w:pPr>
        <w:suppressAutoHyphens w:val="0"/>
        <w:spacing w:after="0" w:line="240" w:lineRule="auto"/>
        <w:jc w:val="both"/>
        <w:rPr>
          <w:rFonts w:ascii="Book Antiqua" w:hAnsi="Book Antiqua"/>
          <w:sz w:val="22"/>
          <w:szCs w:val="22"/>
        </w:rPr>
      </w:pPr>
    </w:p>
    <w:p w14:paraId="42383C6F" w14:textId="77777777" w:rsidR="00C44962" w:rsidRDefault="00C44962" w:rsidP="0092761F">
      <w:pPr>
        <w:suppressAutoHyphens w:val="0"/>
        <w:spacing w:after="0" w:line="240" w:lineRule="auto"/>
        <w:jc w:val="both"/>
        <w:rPr>
          <w:rFonts w:ascii="Book Antiqua" w:hAnsi="Book Antiqua"/>
          <w:sz w:val="22"/>
          <w:szCs w:val="22"/>
        </w:rPr>
      </w:pPr>
      <w:r>
        <w:rPr>
          <w:rFonts w:ascii="Book Antiqua" w:hAnsi="Book Antiqua"/>
          <w:sz w:val="22"/>
          <w:szCs w:val="22"/>
        </w:rPr>
        <w:t>S</w:t>
      </w:r>
      <w:r w:rsidR="00450C03" w:rsidRPr="006559B6">
        <w:rPr>
          <w:rFonts w:ascii="Book Antiqua" w:hAnsi="Book Antiqua"/>
          <w:sz w:val="22"/>
          <w:szCs w:val="22"/>
        </w:rPr>
        <w:t>i l’introduzione nell’art. 380, secondo comma, del codice di procedura penale di una lettera “f.1) che inserisce la nuova fattispecie di truffa aggravata di cui al nuovo terzo comma dell’articolo 640 c.p., nel novero dei reati per i quali è previsto l’arresto obblig</w:t>
      </w:r>
      <w:r w:rsidR="00450C03" w:rsidRPr="006559B6">
        <w:rPr>
          <w:rFonts w:ascii="Book Antiqua" w:hAnsi="Book Antiqua"/>
          <w:sz w:val="22"/>
          <w:szCs w:val="22"/>
        </w:rPr>
        <w:t>a</w:t>
      </w:r>
      <w:r w:rsidR="00450C03" w:rsidRPr="006559B6">
        <w:rPr>
          <w:rFonts w:ascii="Book Antiqua" w:hAnsi="Book Antiqua"/>
          <w:sz w:val="22"/>
          <w:szCs w:val="22"/>
        </w:rPr>
        <w:t>torio in flagranza.</w:t>
      </w:r>
    </w:p>
    <w:p w14:paraId="1AF7CCB1" w14:textId="77777777" w:rsidR="00C44962" w:rsidRDefault="00C44962" w:rsidP="0092761F">
      <w:pPr>
        <w:suppressAutoHyphens w:val="0"/>
        <w:spacing w:after="0" w:line="240" w:lineRule="auto"/>
        <w:jc w:val="both"/>
        <w:rPr>
          <w:rFonts w:ascii="Book Antiqua" w:hAnsi="Book Antiqua"/>
          <w:sz w:val="22"/>
          <w:szCs w:val="22"/>
        </w:rPr>
      </w:pPr>
    </w:p>
    <w:p w14:paraId="15C0614C" w14:textId="240ADE90" w:rsidR="00450C03" w:rsidRPr="006559B6" w:rsidRDefault="00C44962" w:rsidP="0092761F">
      <w:pPr>
        <w:suppressAutoHyphens w:val="0"/>
        <w:spacing w:after="0" w:line="240" w:lineRule="auto"/>
        <w:jc w:val="both"/>
        <w:rPr>
          <w:rFonts w:ascii="Book Antiqua" w:hAnsi="Book Antiqua"/>
          <w:sz w:val="22"/>
          <w:szCs w:val="22"/>
        </w:rPr>
      </w:pPr>
      <w:r>
        <w:rPr>
          <w:rFonts w:ascii="Book Antiqua" w:hAnsi="Book Antiqua"/>
          <w:sz w:val="22"/>
          <w:szCs w:val="22"/>
        </w:rPr>
        <w:t>L’intervento è opportuno anche in chiave di tutela del patrimonio della persona offesa.</w:t>
      </w:r>
      <w:r w:rsidR="00450C03" w:rsidRPr="006559B6">
        <w:rPr>
          <w:rFonts w:ascii="Book Antiqua" w:hAnsi="Book Antiqua"/>
          <w:sz w:val="22"/>
          <w:szCs w:val="22"/>
        </w:rPr>
        <w:t xml:space="preserve"> </w:t>
      </w:r>
    </w:p>
    <w:p w14:paraId="1595A4B6" w14:textId="77777777" w:rsidR="00450C03" w:rsidRPr="006559B6" w:rsidRDefault="00450C03" w:rsidP="0092761F">
      <w:pPr>
        <w:suppressAutoHyphens w:val="0"/>
        <w:spacing w:after="0" w:line="240" w:lineRule="auto"/>
        <w:jc w:val="both"/>
        <w:rPr>
          <w:rFonts w:ascii="Book Antiqua" w:hAnsi="Book Antiqua"/>
          <w:sz w:val="22"/>
          <w:szCs w:val="22"/>
        </w:rPr>
      </w:pPr>
    </w:p>
    <w:p w14:paraId="46C46377" w14:textId="77777777" w:rsidR="00450C03" w:rsidRDefault="00450C03" w:rsidP="0092761F">
      <w:pPr>
        <w:suppressAutoHyphens w:val="0"/>
        <w:spacing w:after="0" w:line="240" w:lineRule="auto"/>
        <w:jc w:val="both"/>
        <w:rPr>
          <w:rFonts w:ascii="Book Antiqua" w:hAnsi="Book Antiqua"/>
          <w:sz w:val="22"/>
          <w:szCs w:val="22"/>
        </w:rPr>
      </w:pPr>
    </w:p>
    <w:p w14:paraId="0568D44D" w14:textId="77777777" w:rsidR="00D573BE" w:rsidRPr="00387B82" w:rsidRDefault="00D573BE" w:rsidP="00D573BE">
      <w:pPr>
        <w:suppressAutoHyphens w:val="0"/>
        <w:spacing w:after="0" w:line="240" w:lineRule="auto"/>
        <w:jc w:val="both"/>
        <w:rPr>
          <w:rFonts w:ascii="Book Antiqua" w:hAnsi="Book Antiqua"/>
          <w:b/>
          <w:sz w:val="22"/>
          <w:szCs w:val="22"/>
        </w:rPr>
      </w:pPr>
      <w:r w:rsidRPr="00387B82">
        <w:rPr>
          <w:rFonts w:ascii="Book Antiqua" w:hAnsi="Book Antiqua"/>
          <w:b/>
          <w:sz w:val="22"/>
          <w:szCs w:val="22"/>
        </w:rPr>
        <w:t xml:space="preserve">4. Articolo 18 - Disposizioni in materia di sicurezza degli istituti penitenziari. </w:t>
      </w:r>
    </w:p>
    <w:p w14:paraId="5BE96928" w14:textId="77777777" w:rsidR="00D573BE" w:rsidRDefault="00D573BE" w:rsidP="00D573BE">
      <w:pPr>
        <w:suppressAutoHyphens w:val="0"/>
        <w:spacing w:after="0" w:line="240" w:lineRule="auto"/>
        <w:jc w:val="both"/>
        <w:rPr>
          <w:rFonts w:ascii="Book Antiqua" w:hAnsi="Book Antiqua"/>
          <w:sz w:val="22"/>
          <w:szCs w:val="22"/>
        </w:rPr>
      </w:pPr>
    </w:p>
    <w:p w14:paraId="2C78A280" w14:textId="77777777" w:rsidR="00D573BE" w:rsidRDefault="00D573BE" w:rsidP="00D573BE">
      <w:pPr>
        <w:suppressAutoHyphens w:val="0"/>
        <w:spacing w:after="0" w:line="240" w:lineRule="auto"/>
        <w:jc w:val="both"/>
        <w:rPr>
          <w:rFonts w:ascii="Book Antiqua" w:hAnsi="Book Antiqua"/>
          <w:sz w:val="22"/>
          <w:szCs w:val="22"/>
        </w:rPr>
      </w:pPr>
      <w:r>
        <w:rPr>
          <w:rFonts w:ascii="Book Antiqua" w:hAnsi="Book Antiqua"/>
          <w:sz w:val="22"/>
          <w:szCs w:val="22"/>
        </w:rPr>
        <w:t>Si prevede</w:t>
      </w:r>
      <w:r w:rsidRPr="006559B6">
        <w:rPr>
          <w:rFonts w:ascii="Book Antiqua" w:hAnsi="Book Antiqua"/>
          <w:sz w:val="22"/>
          <w:szCs w:val="22"/>
        </w:rPr>
        <w:t xml:space="preserve"> la punibilità di specifiche condotte che minano il mantenimento dell’ordine pubblico all’interno delle strutture detentive con due specifici interventi. </w:t>
      </w:r>
    </w:p>
    <w:p w14:paraId="0CF0AFCB" w14:textId="77777777" w:rsidR="00D573BE" w:rsidRDefault="00D573BE" w:rsidP="00D573BE">
      <w:pPr>
        <w:suppressAutoHyphens w:val="0"/>
        <w:spacing w:after="0" w:line="240" w:lineRule="auto"/>
        <w:jc w:val="both"/>
        <w:rPr>
          <w:rFonts w:ascii="Book Antiqua" w:hAnsi="Book Antiqua"/>
          <w:sz w:val="22"/>
          <w:szCs w:val="22"/>
        </w:rPr>
      </w:pPr>
    </w:p>
    <w:p w14:paraId="4B9465BB" w14:textId="77777777" w:rsidR="00D573BE" w:rsidRDefault="00D573BE" w:rsidP="00D573BE">
      <w:pPr>
        <w:suppressAutoHyphens w:val="0"/>
        <w:spacing w:after="0" w:line="240" w:lineRule="auto"/>
        <w:jc w:val="both"/>
        <w:rPr>
          <w:rFonts w:ascii="Book Antiqua" w:hAnsi="Book Antiqua"/>
          <w:sz w:val="22"/>
          <w:szCs w:val="22"/>
        </w:rPr>
      </w:pPr>
      <w:r w:rsidRPr="006559B6">
        <w:rPr>
          <w:rFonts w:ascii="Book Antiqua" w:hAnsi="Book Antiqua"/>
          <w:sz w:val="22"/>
          <w:szCs w:val="22"/>
        </w:rPr>
        <w:t>Con il primo si modifica l’articolo 415 del codice penale, prevedendo un’aggravante al delitto di istigazione alla disobbedienza alle leggi, quando il fatto è commesso all'inte</w:t>
      </w:r>
      <w:r w:rsidRPr="006559B6">
        <w:rPr>
          <w:rFonts w:ascii="Book Antiqua" w:hAnsi="Book Antiqua"/>
          <w:sz w:val="22"/>
          <w:szCs w:val="22"/>
        </w:rPr>
        <w:t>r</w:t>
      </w:r>
      <w:r w:rsidRPr="006559B6">
        <w:rPr>
          <w:rFonts w:ascii="Book Antiqua" w:hAnsi="Book Antiqua"/>
          <w:sz w:val="22"/>
          <w:szCs w:val="22"/>
        </w:rPr>
        <w:t>no di un istituto penitenziario o quando la condotta si realizza a mezzo di scritti o c</w:t>
      </w:r>
      <w:r w:rsidRPr="006559B6">
        <w:rPr>
          <w:rFonts w:ascii="Book Antiqua" w:hAnsi="Book Antiqua"/>
          <w:sz w:val="22"/>
          <w:szCs w:val="22"/>
        </w:rPr>
        <w:t>o</w:t>
      </w:r>
      <w:r w:rsidRPr="006559B6">
        <w:rPr>
          <w:rFonts w:ascii="Book Antiqua" w:hAnsi="Book Antiqua"/>
          <w:sz w:val="22"/>
          <w:szCs w:val="22"/>
        </w:rPr>
        <w:t xml:space="preserve">municazioni dirette a persone detenute. </w:t>
      </w:r>
    </w:p>
    <w:p w14:paraId="07A41E4F" w14:textId="55CEACC6" w:rsidR="00D573BE" w:rsidRDefault="00D573BE" w:rsidP="00D573BE">
      <w:pPr>
        <w:suppressAutoHyphens w:val="0"/>
        <w:spacing w:after="0" w:line="240" w:lineRule="auto"/>
        <w:jc w:val="both"/>
        <w:rPr>
          <w:rFonts w:ascii="Book Antiqua" w:hAnsi="Book Antiqua"/>
          <w:sz w:val="22"/>
          <w:szCs w:val="22"/>
        </w:rPr>
      </w:pPr>
    </w:p>
    <w:p w14:paraId="15E2E2F8" w14:textId="11E46375" w:rsidR="00D573BE" w:rsidRDefault="00D573BE" w:rsidP="00D573BE">
      <w:pPr>
        <w:suppressAutoHyphens w:val="0"/>
        <w:spacing w:after="0" w:line="240" w:lineRule="auto"/>
        <w:jc w:val="both"/>
        <w:rPr>
          <w:rFonts w:ascii="Book Antiqua" w:hAnsi="Book Antiqua"/>
          <w:sz w:val="22"/>
          <w:szCs w:val="22"/>
        </w:rPr>
      </w:pPr>
      <w:r>
        <w:rPr>
          <w:rFonts w:ascii="Book Antiqua" w:hAnsi="Book Antiqua"/>
          <w:sz w:val="22"/>
          <w:szCs w:val="22"/>
        </w:rPr>
        <w:t xml:space="preserve">Opportuno il ricorso alla fattispecie aggravata. </w:t>
      </w:r>
    </w:p>
    <w:p w14:paraId="7A95DFCE" w14:textId="77777777" w:rsidR="00D573BE" w:rsidRDefault="00D573BE" w:rsidP="00D573BE">
      <w:pPr>
        <w:suppressAutoHyphens w:val="0"/>
        <w:spacing w:after="0" w:line="240" w:lineRule="auto"/>
        <w:jc w:val="both"/>
        <w:rPr>
          <w:rFonts w:ascii="Book Antiqua" w:hAnsi="Book Antiqua"/>
          <w:sz w:val="22"/>
          <w:szCs w:val="22"/>
        </w:rPr>
      </w:pPr>
    </w:p>
    <w:p w14:paraId="2B3664D2" w14:textId="77777777" w:rsidR="00D573BE" w:rsidRDefault="00D573BE" w:rsidP="00D573BE">
      <w:pPr>
        <w:suppressAutoHyphens w:val="0"/>
        <w:spacing w:after="0" w:line="240" w:lineRule="auto"/>
        <w:jc w:val="both"/>
        <w:rPr>
          <w:rFonts w:ascii="Book Antiqua" w:hAnsi="Book Antiqua"/>
          <w:sz w:val="22"/>
          <w:szCs w:val="22"/>
        </w:rPr>
      </w:pPr>
      <w:r>
        <w:rPr>
          <w:rFonts w:ascii="Book Antiqua" w:hAnsi="Book Antiqua"/>
          <w:sz w:val="22"/>
          <w:szCs w:val="22"/>
        </w:rPr>
        <w:t>C</w:t>
      </w:r>
      <w:r w:rsidRPr="006559B6">
        <w:rPr>
          <w:rFonts w:ascii="Book Antiqua" w:hAnsi="Book Antiqua"/>
          <w:sz w:val="22"/>
          <w:szCs w:val="22"/>
        </w:rPr>
        <w:t>on il nuovo articolo 415-bis c.p., si introduce una nuova fattispecie delittuosa che co</w:t>
      </w:r>
      <w:r w:rsidRPr="006559B6">
        <w:rPr>
          <w:rFonts w:ascii="Book Antiqua" w:hAnsi="Book Antiqua"/>
          <w:sz w:val="22"/>
          <w:szCs w:val="22"/>
        </w:rPr>
        <w:t>n</w:t>
      </w:r>
      <w:r w:rsidRPr="006559B6">
        <w:rPr>
          <w:rFonts w:ascii="Book Antiqua" w:hAnsi="Book Antiqua"/>
          <w:sz w:val="22"/>
          <w:szCs w:val="22"/>
        </w:rPr>
        <w:t>sente di connotare con precisione gli elementi soggettivi e oggettivi della rivolta in ist</w:t>
      </w:r>
      <w:r w:rsidRPr="006559B6">
        <w:rPr>
          <w:rFonts w:ascii="Book Antiqua" w:hAnsi="Book Antiqua"/>
          <w:sz w:val="22"/>
          <w:szCs w:val="22"/>
        </w:rPr>
        <w:t>i</w:t>
      </w:r>
      <w:r w:rsidRPr="006559B6">
        <w:rPr>
          <w:rFonts w:ascii="Book Antiqua" w:hAnsi="Book Antiqua"/>
          <w:sz w:val="22"/>
          <w:szCs w:val="22"/>
        </w:rPr>
        <w:t xml:space="preserve">tuto penitenziario. </w:t>
      </w:r>
    </w:p>
    <w:p w14:paraId="3D818CF3" w14:textId="77777777" w:rsidR="00D573BE" w:rsidRDefault="00D573BE" w:rsidP="00D573BE">
      <w:pPr>
        <w:suppressAutoHyphens w:val="0"/>
        <w:spacing w:after="0" w:line="240" w:lineRule="auto"/>
        <w:jc w:val="both"/>
        <w:rPr>
          <w:rFonts w:ascii="Book Antiqua" w:hAnsi="Book Antiqua"/>
          <w:sz w:val="22"/>
          <w:szCs w:val="22"/>
        </w:rPr>
      </w:pPr>
    </w:p>
    <w:p w14:paraId="2D252776" w14:textId="77777777" w:rsidR="00D573BE" w:rsidRDefault="00D573BE" w:rsidP="00D573BE">
      <w:pPr>
        <w:suppressAutoHyphens w:val="0"/>
        <w:spacing w:after="0" w:line="240" w:lineRule="auto"/>
        <w:jc w:val="both"/>
        <w:rPr>
          <w:rFonts w:ascii="Book Antiqua" w:hAnsi="Book Antiqua"/>
          <w:sz w:val="22"/>
          <w:szCs w:val="22"/>
        </w:rPr>
      </w:pPr>
      <w:r w:rsidRPr="006559B6">
        <w:rPr>
          <w:rFonts w:ascii="Book Antiqua" w:hAnsi="Book Antiqua"/>
          <w:sz w:val="22"/>
          <w:szCs w:val="22"/>
        </w:rPr>
        <w:t>Si prevede, infatti, che chiunque, all’interno di un istituto penitenziario, promuove, o</w:t>
      </w:r>
      <w:r w:rsidRPr="006559B6">
        <w:rPr>
          <w:rFonts w:ascii="Book Antiqua" w:hAnsi="Book Antiqua"/>
          <w:sz w:val="22"/>
          <w:szCs w:val="22"/>
        </w:rPr>
        <w:t>r</w:t>
      </w:r>
      <w:r w:rsidRPr="006559B6">
        <w:rPr>
          <w:rFonts w:ascii="Book Antiqua" w:hAnsi="Book Antiqua"/>
          <w:sz w:val="22"/>
          <w:szCs w:val="22"/>
        </w:rPr>
        <w:t xml:space="preserve">ganizza, dirige una rivolta mediante atti di violenza o minaccia, di resistenza anche passiva all’esecuzione degli ordini impartiti ovvero mediante tentativi di evasione, commessi in tre o più persone riunite, sia punito con la reclusione da due a otto anni. Viene punita, inoltre, la mera partecipazione alla rivolta con la pena della reclusione da uno a cinque anni. </w:t>
      </w:r>
    </w:p>
    <w:p w14:paraId="7668D84B" w14:textId="77777777" w:rsidR="00D573BE" w:rsidRDefault="00D573BE" w:rsidP="00D573BE">
      <w:pPr>
        <w:suppressAutoHyphens w:val="0"/>
        <w:spacing w:after="0" w:line="240" w:lineRule="auto"/>
        <w:jc w:val="both"/>
        <w:rPr>
          <w:rFonts w:ascii="Book Antiqua" w:hAnsi="Book Antiqua"/>
          <w:sz w:val="22"/>
          <w:szCs w:val="22"/>
        </w:rPr>
      </w:pPr>
    </w:p>
    <w:p w14:paraId="1314767E" w14:textId="77777777" w:rsidR="00D573BE" w:rsidRDefault="00D573BE" w:rsidP="00D573BE">
      <w:pPr>
        <w:suppressAutoHyphens w:val="0"/>
        <w:spacing w:after="0" w:line="240" w:lineRule="auto"/>
        <w:jc w:val="both"/>
        <w:rPr>
          <w:rFonts w:ascii="Book Antiqua" w:hAnsi="Book Antiqua"/>
          <w:sz w:val="22"/>
          <w:szCs w:val="22"/>
        </w:rPr>
      </w:pPr>
      <w:r w:rsidRPr="006559B6">
        <w:rPr>
          <w:rFonts w:ascii="Book Antiqua" w:hAnsi="Book Antiqua"/>
          <w:sz w:val="22"/>
          <w:szCs w:val="22"/>
        </w:rPr>
        <w:t>Sono, altresì, configurate quali circostanze aggravanti l’uso delle armi nella commi</w:t>
      </w:r>
      <w:r w:rsidRPr="006559B6">
        <w:rPr>
          <w:rFonts w:ascii="Book Antiqua" w:hAnsi="Book Antiqua"/>
          <w:sz w:val="22"/>
          <w:szCs w:val="22"/>
        </w:rPr>
        <w:t>s</w:t>
      </w:r>
      <w:r w:rsidRPr="006559B6">
        <w:rPr>
          <w:rFonts w:ascii="Book Antiqua" w:hAnsi="Book Antiqua"/>
          <w:sz w:val="22"/>
          <w:szCs w:val="22"/>
        </w:rPr>
        <w:t xml:space="preserve">sione del fatto (reclusione da tre a dieci anni), e gli eventi di lesioni personali (aumento di pena) o della morte (reclusione da dieci a venti anni). </w:t>
      </w:r>
    </w:p>
    <w:p w14:paraId="454F5642" w14:textId="77777777" w:rsidR="00D573BE" w:rsidRDefault="00D573BE" w:rsidP="00D573BE">
      <w:pPr>
        <w:suppressAutoHyphens w:val="0"/>
        <w:spacing w:after="0" w:line="240" w:lineRule="auto"/>
        <w:jc w:val="both"/>
        <w:rPr>
          <w:rFonts w:ascii="Book Antiqua" w:hAnsi="Book Antiqua"/>
          <w:sz w:val="22"/>
          <w:szCs w:val="22"/>
        </w:rPr>
      </w:pPr>
    </w:p>
    <w:p w14:paraId="7E456EB6" w14:textId="13126F95" w:rsidR="00D573BE" w:rsidRPr="006559B6" w:rsidRDefault="00D573BE" w:rsidP="00D573BE">
      <w:pPr>
        <w:suppressAutoHyphens w:val="0"/>
        <w:spacing w:after="0" w:line="240" w:lineRule="auto"/>
        <w:jc w:val="both"/>
        <w:rPr>
          <w:rFonts w:ascii="Book Antiqua" w:hAnsi="Book Antiqua"/>
          <w:sz w:val="22"/>
          <w:szCs w:val="22"/>
        </w:rPr>
      </w:pPr>
      <w:r w:rsidRPr="006559B6">
        <w:rPr>
          <w:rFonts w:ascii="Book Antiqua" w:hAnsi="Book Antiqua"/>
          <w:sz w:val="22"/>
          <w:szCs w:val="22"/>
        </w:rPr>
        <w:t>Viene infine previsto che l’inasprimento delle pene sia disposto anche se gli eventi de</w:t>
      </w:r>
      <w:r w:rsidRPr="006559B6">
        <w:rPr>
          <w:rFonts w:ascii="Book Antiqua" w:hAnsi="Book Antiqua"/>
          <w:sz w:val="22"/>
          <w:szCs w:val="22"/>
        </w:rPr>
        <w:t>l</w:t>
      </w:r>
      <w:r w:rsidRPr="006559B6">
        <w:rPr>
          <w:rFonts w:ascii="Book Antiqua" w:hAnsi="Book Antiqua"/>
          <w:sz w:val="22"/>
          <w:szCs w:val="22"/>
        </w:rPr>
        <w:t>la lesione e della morte avvengano immediatamente dopo la rivolta ed in conseguenza di essa.</w:t>
      </w:r>
    </w:p>
    <w:p w14:paraId="1CFBABF9" w14:textId="77777777" w:rsidR="00C44962" w:rsidRDefault="00C44962" w:rsidP="0092761F">
      <w:pPr>
        <w:suppressAutoHyphens w:val="0"/>
        <w:spacing w:after="0" w:line="240" w:lineRule="auto"/>
        <w:jc w:val="both"/>
        <w:rPr>
          <w:rFonts w:ascii="Book Antiqua" w:hAnsi="Book Antiqua"/>
          <w:sz w:val="22"/>
          <w:szCs w:val="22"/>
        </w:rPr>
      </w:pPr>
    </w:p>
    <w:p w14:paraId="65D43D43" w14:textId="5D60A500" w:rsidR="00C44962" w:rsidRDefault="00D573BE" w:rsidP="0092761F">
      <w:pPr>
        <w:suppressAutoHyphens w:val="0"/>
        <w:spacing w:after="0" w:line="240" w:lineRule="auto"/>
        <w:jc w:val="both"/>
        <w:rPr>
          <w:rFonts w:ascii="Book Antiqua" w:hAnsi="Book Antiqua"/>
          <w:sz w:val="22"/>
          <w:szCs w:val="22"/>
        </w:rPr>
      </w:pPr>
      <w:r>
        <w:rPr>
          <w:rFonts w:ascii="Book Antiqua" w:hAnsi="Book Antiqua"/>
          <w:sz w:val="22"/>
          <w:szCs w:val="22"/>
        </w:rPr>
        <w:lastRenderedPageBreak/>
        <w:t>La fattispecie crea problemi  in relazione alla resistenza passiva, che può essere espre</w:t>
      </w:r>
      <w:r>
        <w:rPr>
          <w:rFonts w:ascii="Book Antiqua" w:hAnsi="Book Antiqua"/>
          <w:sz w:val="22"/>
          <w:szCs w:val="22"/>
        </w:rPr>
        <w:t>s</w:t>
      </w:r>
      <w:r>
        <w:rPr>
          <w:rFonts w:ascii="Book Antiqua" w:hAnsi="Book Antiqua"/>
          <w:sz w:val="22"/>
          <w:szCs w:val="22"/>
        </w:rPr>
        <w:t>sione di più svariate ragioni, anche da tutelare, e di certo non è parificabile alle altre condotte, che appaiono connotate da materialità e offensività.</w:t>
      </w:r>
    </w:p>
    <w:p w14:paraId="0441DD56" w14:textId="77777777" w:rsidR="00C44962" w:rsidRPr="006559B6" w:rsidRDefault="00C44962" w:rsidP="0092761F">
      <w:pPr>
        <w:suppressAutoHyphens w:val="0"/>
        <w:spacing w:after="0" w:line="240" w:lineRule="auto"/>
        <w:jc w:val="both"/>
        <w:rPr>
          <w:rFonts w:ascii="Book Antiqua" w:hAnsi="Book Antiqua"/>
          <w:sz w:val="22"/>
          <w:szCs w:val="22"/>
        </w:rPr>
      </w:pPr>
    </w:p>
    <w:p w14:paraId="4B553CCE" w14:textId="77777777" w:rsidR="00D573BE" w:rsidRPr="00387B82" w:rsidRDefault="00C44962" w:rsidP="0092761F">
      <w:pPr>
        <w:suppressAutoHyphens w:val="0"/>
        <w:spacing w:after="0" w:line="240" w:lineRule="auto"/>
        <w:jc w:val="both"/>
        <w:rPr>
          <w:rFonts w:ascii="Book Antiqua" w:hAnsi="Book Antiqua"/>
          <w:b/>
          <w:sz w:val="22"/>
          <w:szCs w:val="22"/>
        </w:rPr>
      </w:pPr>
      <w:r w:rsidRPr="00387B82">
        <w:rPr>
          <w:rFonts w:ascii="Book Antiqua" w:hAnsi="Book Antiqua"/>
          <w:b/>
          <w:sz w:val="22"/>
          <w:szCs w:val="22"/>
        </w:rPr>
        <w:t xml:space="preserve">5. </w:t>
      </w:r>
      <w:r w:rsidR="00450C03" w:rsidRPr="00387B82">
        <w:rPr>
          <w:rFonts w:ascii="Book Antiqua" w:hAnsi="Book Antiqua"/>
          <w:b/>
          <w:sz w:val="22"/>
          <w:szCs w:val="22"/>
        </w:rPr>
        <w:t xml:space="preserve">Articolo 14 </w:t>
      </w:r>
      <w:r w:rsidR="00D573BE" w:rsidRPr="00387B82">
        <w:rPr>
          <w:rFonts w:ascii="Book Antiqua" w:hAnsi="Book Antiqua"/>
          <w:b/>
          <w:sz w:val="22"/>
          <w:szCs w:val="22"/>
        </w:rPr>
        <w:t xml:space="preserve"> - </w:t>
      </w:r>
      <w:r w:rsidR="00450C03" w:rsidRPr="00387B82">
        <w:rPr>
          <w:rFonts w:ascii="Book Antiqua" w:hAnsi="Book Antiqua"/>
          <w:b/>
          <w:sz w:val="22"/>
          <w:szCs w:val="22"/>
        </w:rPr>
        <w:t>Violenza o minaccia a pubblico ufficiale e resistenza a pubblico uff</w:t>
      </w:r>
      <w:r w:rsidR="00450C03" w:rsidRPr="00387B82">
        <w:rPr>
          <w:rFonts w:ascii="Book Antiqua" w:hAnsi="Book Antiqua"/>
          <w:b/>
          <w:sz w:val="22"/>
          <w:szCs w:val="22"/>
        </w:rPr>
        <w:t>i</w:t>
      </w:r>
      <w:r w:rsidR="00450C03" w:rsidRPr="00387B82">
        <w:rPr>
          <w:rFonts w:ascii="Book Antiqua" w:hAnsi="Book Antiqua"/>
          <w:b/>
          <w:sz w:val="22"/>
          <w:szCs w:val="22"/>
        </w:rPr>
        <w:t>ciale</w:t>
      </w:r>
      <w:r w:rsidR="00D573BE" w:rsidRPr="00387B82">
        <w:rPr>
          <w:rFonts w:ascii="Book Antiqua" w:hAnsi="Book Antiqua"/>
          <w:b/>
          <w:sz w:val="22"/>
          <w:szCs w:val="22"/>
        </w:rPr>
        <w:t>.</w:t>
      </w:r>
      <w:r w:rsidR="00450C03" w:rsidRPr="00387B82">
        <w:rPr>
          <w:rFonts w:ascii="Book Antiqua" w:hAnsi="Book Antiqua"/>
          <w:b/>
          <w:sz w:val="22"/>
          <w:szCs w:val="22"/>
        </w:rPr>
        <w:t xml:space="preserve"> </w:t>
      </w:r>
    </w:p>
    <w:p w14:paraId="4D434185" w14:textId="77777777" w:rsidR="00D573BE" w:rsidRPr="00387B82" w:rsidRDefault="00D573BE" w:rsidP="0092761F">
      <w:pPr>
        <w:suppressAutoHyphens w:val="0"/>
        <w:spacing w:after="0" w:line="240" w:lineRule="auto"/>
        <w:jc w:val="both"/>
        <w:rPr>
          <w:rFonts w:ascii="Book Antiqua" w:hAnsi="Book Antiqua"/>
          <w:b/>
          <w:sz w:val="22"/>
          <w:szCs w:val="22"/>
        </w:rPr>
      </w:pPr>
    </w:p>
    <w:p w14:paraId="09F6073E" w14:textId="77777777" w:rsidR="00387B82" w:rsidRDefault="00D573BE" w:rsidP="0092761F">
      <w:pPr>
        <w:suppressAutoHyphens w:val="0"/>
        <w:spacing w:after="0" w:line="240" w:lineRule="auto"/>
        <w:jc w:val="both"/>
        <w:rPr>
          <w:rFonts w:ascii="Book Antiqua" w:hAnsi="Book Antiqua"/>
          <w:sz w:val="22"/>
          <w:szCs w:val="22"/>
        </w:rPr>
      </w:pPr>
      <w:r>
        <w:rPr>
          <w:rFonts w:ascii="Book Antiqua" w:hAnsi="Book Antiqua"/>
          <w:sz w:val="22"/>
          <w:szCs w:val="22"/>
        </w:rPr>
        <w:t xml:space="preserve">Si </w:t>
      </w:r>
      <w:r w:rsidR="00450C03" w:rsidRPr="006559B6">
        <w:rPr>
          <w:rFonts w:ascii="Book Antiqua" w:hAnsi="Book Antiqua"/>
          <w:sz w:val="22"/>
          <w:szCs w:val="22"/>
        </w:rPr>
        <w:t>rafforza</w:t>
      </w:r>
      <w:r>
        <w:rPr>
          <w:rFonts w:ascii="Book Antiqua" w:hAnsi="Book Antiqua"/>
          <w:sz w:val="22"/>
          <w:szCs w:val="22"/>
        </w:rPr>
        <w:t xml:space="preserve"> </w:t>
      </w:r>
      <w:r w:rsidR="00450C03" w:rsidRPr="006559B6">
        <w:rPr>
          <w:rFonts w:ascii="Book Antiqua" w:hAnsi="Book Antiqua"/>
          <w:sz w:val="22"/>
          <w:szCs w:val="22"/>
        </w:rPr>
        <w:t>la tutela dell’attività espletata dagli ufficiali o agenti di pubblica sicurezza o di polizia giudiziaria, al fine di garantire, di conseguenza, un più efficace dispiegame</w:t>
      </w:r>
      <w:r w:rsidR="00450C03" w:rsidRPr="006559B6">
        <w:rPr>
          <w:rFonts w:ascii="Book Antiqua" w:hAnsi="Book Antiqua"/>
          <w:sz w:val="22"/>
          <w:szCs w:val="22"/>
        </w:rPr>
        <w:t>n</w:t>
      </w:r>
      <w:r w:rsidR="00450C03" w:rsidRPr="006559B6">
        <w:rPr>
          <w:rFonts w:ascii="Book Antiqua" w:hAnsi="Book Antiqua"/>
          <w:sz w:val="22"/>
          <w:szCs w:val="22"/>
        </w:rPr>
        <w:t xml:space="preserve">to dei servizi di ordine e sicurezza pubblica. </w:t>
      </w:r>
    </w:p>
    <w:p w14:paraId="66B81847" w14:textId="77777777" w:rsidR="00387B82" w:rsidRDefault="00387B82" w:rsidP="0092761F">
      <w:pPr>
        <w:suppressAutoHyphens w:val="0"/>
        <w:spacing w:after="0" w:line="240" w:lineRule="auto"/>
        <w:jc w:val="both"/>
        <w:rPr>
          <w:rFonts w:ascii="Book Antiqua" w:hAnsi="Book Antiqua"/>
          <w:sz w:val="22"/>
          <w:szCs w:val="22"/>
        </w:rPr>
      </w:pPr>
    </w:p>
    <w:p w14:paraId="3F88522E" w14:textId="77777777" w:rsidR="00387B82" w:rsidRDefault="00387B82" w:rsidP="0092761F">
      <w:pPr>
        <w:suppressAutoHyphens w:val="0"/>
        <w:spacing w:after="0" w:line="240" w:lineRule="auto"/>
        <w:jc w:val="both"/>
        <w:rPr>
          <w:rFonts w:ascii="Book Antiqua" w:hAnsi="Book Antiqua"/>
          <w:sz w:val="22"/>
          <w:szCs w:val="22"/>
        </w:rPr>
      </w:pPr>
      <w:r>
        <w:rPr>
          <w:rFonts w:ascii="Book Antiqua" w:hAnsi="Book Antiqua"/>
          <w:sz w:val="22"/>
          <w:szCs w:val="22"/>
        </w:rPr>
        <w:t>A</w:t>
      </w:r>
      <w:r w:rsidR="00450C03" w:rsidRPr="006559B6">
        <w:rPr>
          <w:rFonts w:ascii="Book Antiqua" w:hAnsi="Book Antiqua"/>
          <w:sz w:val="22"/>
          <w:szCs w:val="22"/>
        </w:rPr>
        <w:t>l comma 1, si introduce un’aggravante per le ipotesi in cui le condotte previste dall’articolo 336 del codice penale (Violenza o minaccia a un pubblico ufficiale) siano poste in essere proprio nei co</w:t>
      </w:r>
      <w:r w:rsidR="00450C03" w:rsidRPr="006559B6">
        <w:rPr>
          <w:rFonts w:ascii="Book Antiqua" w:hAnsi="Book Antiqua"/>
          <w:sz w:val="22"/>
          <w:szCs w:val="22"/>
        </w:rPr>
        <w:t>n</w:t>
      </w:r>
      <w:r w:rsidR="00450C03" w:rsidRPr="006559B6">
        <w:rPr>
          <w:rFonts w:ascii="Book Antiqua" w:hAnsi="Book Antiqua"/>
          <w:sz w:val="22"/>
          <w:szCs w:val="22"/>
        </w:rPr>
        <w:t xml:space="preserve">fronti dei predetti ufficiali e agenti di </w:t>
      </w:r>
      <w:proofErr w:type="spellStart"/>
      <w:r w:rsidR="00450C03" w:rsidRPr="006559B6">
        <w:rPr>
          <w:rFonts w:ascii="Book Antiqua" w:hAnsi="Book Antiqua"/>
          <w:sz w:val="22"/>
          <w:szCs w:val="22"/>
        </w:rPr>
        <w:t>p.s.</w:t>
      </w:r>
      <w:proofErr w:type="spellEnd"/>
      <w:r w:rsidR="00450C03" w:rsidRPr="006559B6">
        <w:rPr>
          <w:rFonts w:ascii="Book Antiqua" w:hAnsi="Book Antiqua"/>
          <w:sz w:val="22"/>
          <w:szCs w:val="22"/>
        </w:rPr>
        <w:t xml:space="preserve"> o di </w:t>
      </w:r>
      <w:proofErr w:type="spellStart"/>
      <w:r w:rsidR="00450C03" w:rsidRPr="006559B6">
        <w:rPr>
          <w:rFonts w:ascii="Book Antiqua" w:hAnsi="Book Antiqua"/>
          <w:sz w:val="22"/>
          <w:szCs w:val="22"/>
        </w:rPr>
        <w:t>p.g.</w:t>
      </w:r>
      <w:proofErr w:type="spellEnd"/>
      <w:r w:rsidR="00450C03" w:rsidRPr="006559B6">
        <w:rPr>
          <w:rFonts w:ascii="Book Antiqua" w:hAnsi="Book Antiqua"/>
          <w:sz w:val="22"/>
          <w:szCs w:val="22"/>
        </w:rPr>
        <w:t>. In tali casi, infatti, è previsto un a</w:t>
      </w:r>
      <w:r w:rsidR="00450C03" w:rsidRPr="006559B6">
        <w:rPr>
          <w:rFonts w:ascii="Book Antiqua" w:hAnsi="Book Antiqua"/>
          <w:sz w:val="22"/>
          <w:szCs w:val="22"/>
        </w:rPr>
        <w:t>u</w:t>
      </w:r>
      <w:r w:rsidR="00450C03" w:rsidRPr="006559B6">
        <w:rPr>
          <w:rFonts w:ascii="Book Antiqua" w:hAnsi="Book Antiqua"/>
          <w:sz w:val="22"/>
          <w:szCs w:val="22"/>
        </w:rPr>
        <w:t>mentato di pena di un terzo. Inoltre, nell’ottica di attribuire particolare rilievo all’aggravante di nuovo conio, la stessa viene configurata quale a</w:t>
      </w:r>
      <w:r w:rsidR="00450C03" w:rsidRPr="006559B6">
        <w:rPr>
          <w:rFonts w:ascii="Book Antiqua" w:hAnsi="Book Antiqua"/>
          <w:sz w:val="22"/>
          <w:szCs w:val="22"/>
        </w:rPr>
        <w:t>g</w:t>
      </w:r>
      <w:r w:rsidR="00450C03" w:rsidRPr="006559B6">
        <w:rPr>
          <w:rFonts w:ascii="Book Antiqua" w:hAnsi="Book Antiqua"/>
          <w:sz w:val="22"/>
          <w:szCs w:val="22"/>
        </w:rPr>
        <w:t>gravante privilegiata, non soggetta al meccan</w:t>
      </w:r>
      <w:r w:rsidR="00450C03" w:rsidRPr="006559B6">
        <w:rPr>
          <w:rFonts w:ascii="Book Antiqua" w:hAnsi="Book Antiqua"/>
          <w:sz w:val="22"/>
          <w:szCs w:val="22"/>
        </w:rPr>
        <w:t>i</w:t>
      </w:r>
      <w:r w:rsidR="00450C03" w:rsidRPr="006559B6">
        <w:rPr>
          <w:rFonts w:ascii="Book Antiqua" w:hAnsi="Book Antiqua"/>
          <w:sz w:val="22"/>
          <w:szCs w:val="22"/>
        </w:rPr>
        <w:t>smo di bilanciamento delle circostanze del reato previsto dall’articolo 69 del codice p</w:t>
      </w:r>
      <w:r w:rsidR="00450C03" w:rsidRPr="006559B6">
        <w:rPr>
          <w:rFonts w:ascii="Book Antiqua" w:hAnsi="Book Antiqua"/>
          <w:sz w:val="22"/>
          <w:szCs w:val="22"/>
        </w:rPr>
        <w:t>e</w:t>
      </w:r>
      <w:r w:rsidR="00450C03" w:rsidRPr="006559B6">
        <w:rPr>
          <w:rFonts w:ascii="Book Antiqua" w:hAnsi="Book Antiqua"/>
          <w:sz w:val="22"/>
          <w:szCs w:val="22"/>
        </w:rPr>
        <w:t xml:space="preserve">nale. </w:t>
      </w:r>
    </w:p>
    <w:p w14:paraId="1408DB6A" w14:textId="77777777" w:rsidR="00387B82" w:rsidRDefault="00387B82" w:rsidP="0092761F">
      <w:pPr>
        <w:suppressAutoHyphens w:val="0"/>
        <w:spacing w:after="0" w:line="240" w:lineRule="auto"/>
        <w:jc w:val="both"/>
        <w:rPr>
          <w:rFonts w:ascii="Book Antiqua" w:hAnsi="Book Antiqua"/>
          <w:sz w:val="22"/>
          <w:szCs w:val="22"/>
        </w:rPr>
      </w:pPr>
    </w:p>
    <w:p w14:paraId="2EC3FF4F" w14:textId="6BC5883F" w:rsidR="00450C03" w:rsidRPr="006559B6" w:rsidRDefault="00450C03" w:rsidP="0092761F">
      <w:pPr>
        <w:suppressAutoHyphens w:val="0"/>
        <w:spacing w:after="0" w:line="240" w:lineRule="auto"/>
        <w:jc w:val="both"/>
        <w:rPr>
          <w:rFonts w:ascii="Book Antiqua" w:hAnsi="Book Antiqua"/>
          <w:sz w:val="22"/>
          <w:szCs w:val="22"/>
        </w:rPr>
      </w:pPr>
      <w:r w:rsidRPr="006559B6">
        <w:rPr>
          <w:rFonts w:ascii="Book Antiqua" w:hAnsi="Book Antiqua"/>
          <w:sz w:val="22"/>
          <w:szCs w:val="22"/>
        </w:rPr>
        <w:t>Con il comma 2, per omogeneità di materia e per finalità di coerenza sistematica, le i</w:t>
      </w:r>
      <w:r w:rsidRPr="006559B6">
        <w:rPr>
          <w:rFonts w:ascii="Book Antiqua" w:hAnsi="Book Antiqua"/>
          <w:sz w:val="22"/>
          <w:szCs w:val="22"/>
        </w:rPr>
        <w:t>n</w:t>
      </w:r>
      <w:r w:rsidRPr="006559B6">
        <w:rPr>
          <w:rFonts w:ascii="Book Antiqua" w:hAnsi="Book Antiqua"/>
          <w:sz w:val="22"/>
          <w:szCs w:val="22"/>
        </w:rPr>
        <w:t>novazioni che il comma 1 apporta all’articolo 336 del codice penale vengono riprodo</w:t>
      </w:r>
      <w:r w:rsidRPr="006559B6">
        <w:rPr>
          <w:rFonts w:ascii="Book Antiqua" w:hAnsi="Book Antiqua"/>
          <w:sz w:val="22"/>
          <w:szCs w:val="22"/>
        </w:rPr>
        <w:t>t</w:t>
      </w:r>
      <w:r w:rsidRPr="006559B6">
        <w:rPr>
          <w:rFonts w:ascii="Book Antiqua" w:hAnsi="Book Antiqua"/>
          <w:sz w:val="22"/>
          <w:szCs w:val="22"/>
        </w:rPr>
        <w:t>te, parallelamente, anche con riferimento all’articolo 337 del codice penale (Res</w:t>
      </w:r>
      <w:r w:rsidRPr="006559B6">
        <w:rPr>
          <w:rFonts w:ascii="Book Antiqua" w:hAnsi="Book Antiqua"/>
          <w:sz w:val="22"/>
          <w:szCs w:val="22"/>
        </w:rPr>
        <w:t>i</w:t>
      </w:r>
      <w:r w:rsidRPr="006559B6">
        <w:rPr>
          <w:rFonts w:ascii="Book Antiqua" w:hAnsi="Book Antiqua"/>
          <w:sz w:val="22"/>
          <w:szCs w:val="22"/>
        </w:rPr>
        <w:t>stenza a pubblico ufficiale).</w:t>
      </w:r>
    </w:p>
    <w:p w14:paraId="49964459" w14:textId="77777777" w:rsidR="00450C03" w:rsidRPr="006559B6" w:rsidRDefault="00450C03" w:rsidP="0092761F">
      <w:pPr>
        <w:suppressAutoHyphens w:val="0"/>
        <w:spacing w:after="0" w:line="240" w:lineRule="auto"/>
        <w:jc w:val="both"/>
        <w:rPr>
          <w:rFonts w:ascii="Book Antiqua" w:hAnsi="Book Antiqua"/>
          <w:sz w:val="22"/>
          <w:szCs w:val="22"/>
        </w:rPr>
      </w:pPr>
    </w:p>
    <w:p w14:paraId="4998A126" w14:textId="77777777" w:rsidR="00450C03" w:rsidRPr="006559B6" w:rsidRDefault="00450C03" w:rsidP="0092761F">
      <w:pPr>
        <w:suppressAutoHyphens w:val="0"/>
        <w:spacing w:after="0" w:line="240" w:lineRule="auto"/>
        <w:jc w:val="both"/>
        <w:rPr>
          <w:rFonts w:ascii="Book Antiqua" w:hAnsi="Book Antiqua"/>
          <w:sz w:val="22"/>
          <w:szCs w:val="22"/>
        </w:rPr>
      </w:pPr>
    </w:p>
    <w:p w14:paraId="5EC28D48" w14:textId="6769B779" w:rsidR="00387B82" w:rsidRPr="00387B82" w:rsidRDefault="00387B82" w:rsidP="0092761F">
      <w:pPr>
        <w:suppressAutoHyphens w:val="0"/>
        <w:spacing w:after="0" w:line="240" w:lineRule="auto"/>
        <w:jc w:val="both"/>
        <w:rPr>
          <w:rFonts w:ascii="Book Antiqua" w:hAnsi="Book Antiqua"/>
          <w:b/>
          <w:sz w:val="22"/>
          <w:szCs w:val="22"/>
        </w:rPr>
      </w:pPr>
      <w:r w:rsidRPr="00387B82">
        <w:rPr>
          <w:rFonts w:ascii="Book Antiqua" w:hAnsi="Book Antiqua"/>
          <w:b/>
          <w:sz w:val="22"/>
          <w:szCs w:val="22"/>
        </w:rPr>
        <w:t>6. Articolo 15 -</w:t>
      </w:r>
      <w:r w:rsidR="00450C03" w:rsidRPr="00387B82">
        <w:rPr>
          <w:rFonts w:ascii="Book Antiqua" w:hAnsi="Book Antiqua"/>
          <w:b/>
          <w:sz w:val="22"/>
          <w:szCs w:val="22"/>
        </w:rPr>
        <w:t>Modifiche al codice penale in materia di lesioni personali ai danni di un ufficiale o agente di pubblica sicurezza o di polizia giudiziaria nell’atto o a causa dell’adempiment</w:t>
      </w:r>
      <w:r w:rsidRPr="00387B82">
        <w:rPr>
          <w:rFonts w:ascii="Book Antiqua" w:hAnsi="Book Antiqua"/>
          <w:b/>
          <w:sz w:val="22"/>
          <w:szCs w:val="22"/>
        </w:rPr>
        <w:t>o delle funzioni o del servizio.</w:t>
      </w:r>
      <w:r w:rsidR="00450C03" w:rsidRPr="00387B82">
        <w:rPr>
          <w:rFonts w:ascii="Book Antiqua" w:hAnsi="Book Antiqua"/>
          <w:b/>
          <w:sz w:val="22"/>
          <w:szCs w:val="22"/>
        </w:rPr>
        <w:t xml:space="preserve"> </w:t>
      </w:r>
    </w:p>
    <w:p w14:paraId="35588052" w14:textId="77777777" w:rsidR="00387B82" w:rsidRDefault="00387B82" w:rsidP="0092761F">
      <w:pPr>
        <w:suppressAutoHyphens w:val="0"/>
        <w:spacing w:after="0" w:line="240" w:lineRule="auto"/>
        <w:jc w:val="both"/>
        <w:rPr>
          <w:rFonts w:ascii="Book Antiqua" w:hAnsi="Book Antiqua"/>
          <w:sz w:val="22"/>
          <w:szCs w:val="22"/>
        </w:rPr>
      </w:pPr>
    </w:p>
    <w:p w14:paraId="1F3F9C23" w14:textId="77777777" w:rsidR="00387B82" w:rsidRDefault="00387B82" w:rsidP="0092761F">
      <w:pPr>
        <w:suppressAutoHyphens w:val="0"/>
        <w:spacing w:after="0" w:line="240" w:lineRule="auto"/>
        <w:jc w:val="both"/>
        <w:rPr>
          <w:rFonts w:ascii="Book Antiqua" w:hAnsi="Book Antiqua"/>
          <w:sz w:val="22"/>
          <w:szCs w:val="22"/>
        </w:rPr>
      </w:pPr>
    </w:p>
    <w:p w14:paraId="6655B617" w14:textId="447DBCE4" w:rsidR="00387B82" w:rsidRDefault="00387B82" w:rsidP="0092761F">
      <w:pPr>
        <w:suppressAutoHyphens w:val="0"/>
        <w:spacing w:after="0" w:line="240" w:lineRule="auto"/>
        <w:jc w:val="both"/>
        <w:rPr>
          <w:rFonts w:ascii="Book Antiqua" w:hAnsi="Book Antiqua"/>
          <w:sz w:val="22"/>
          <w:szCs w:val="22"/>
        </w:rPr>
      </w:pPr>
      <w:r>
        <w:rPr>
          <w:rFonts w:ascii="Book Antiqua" w:hAnsi="Book Antiqua"/>
          <w:sz w:val="22"/>
          <w:szCs w:val="22"/>
        </w:rPr>
        <w:t>Si</w:t>
      </w:r>
      <w:r w:rsidR="00450C03" w:rsidRPr="006559B6">
        <w:rPr>
          <w:rFonts w:ascii="Book Antiqua" w:hAnsi="Book Antiqua"/>
          <w:sz w:val="22"/>
          <w:szCs w:val="22"/>
        </w:rPr>
        <w:t xml:space="preserve"> estende l’ambito di applicazione della disposizione che - nella versione previgente dell’articolo 583-quater - era circoscritto alle sole lesioni personali cagionate a un pu</w:t>
      </w:r>
      <w:r w:rsidR="00450C03" w:rsidRPr="006559B6">
        <w:rPr>
          <w:rFonts w:ascii="Book Antiqua" w:hAnsi="Book Antiqua"/>
          <w:sz w:val="22"/>
          <w:szCs w:val="22"/>
        </w:rPr>
        <w:t>b</w:t>
      </w:r>
      <w:r w:rsidR="00450C03" w:rsidRPr="006559B6">
        <w:rPr>
          <w:rFonts w:ascii="Book Antiqua" w:hAnsi="Book Antiqua"/>
          <w:sz w:val="22"/>
          <w:szCs w:val="22"/>
        </w:rPr>
        <w:t>blico ufficiale in servizio di ordine pubblico in occasione di manifestazioni sportive. I</w:t>
      </w:r>
      <w:r w:rsidR="00450C03" w:rsidRPr="006559B6">
        <w:rPr>
          <w:rFonts w:ascii="Book Antiqua" w:hAnsi="Book Antiqua"/>
          <w:sz w:val="22"/>
          <w:szCs w:val="22"/>
        </w:rPr>
        <w:t>n</w:t>
      </w:r>
      <w:r w:rsidR="00450C03" w:rsidRPr="006559B6">
        <w:rPr>
          <w:rFonts w:ascii="Book Antiqua" w:hAnsi="Book Antiqua"/>
          <w:sz w:val="22"/>
          <w:szCs w:val="22"/>
        </w:rPr>
        <w:t>fatti, vengono ricomprese nella fattispecie di reato tutte le condotte di lesioni cagionate in danno di ufficiali o agenti di pubblica sicurezza o pol</w:t>
      </w:r>
      <w:r w:rsidR="00450C03" w:rsidRPr="006559B6">
        <w:rPr>
          <w:rFonts w:ascii="Book Antiqua" w:hAnsi="Book Antiqua"/>
          <w:sz w:val="22"/>
          <w:szCs w:val="22"/>
        </w:rPr>
        <w:t>i</w:t>
      </w:r>
      <w:r w:rsidR="00450C03" w:rsidRPr="006559B6">
        <w:rPr>
          <w:rFonts w:ascii="Book Antiqua" w:hAnsi="Book Antiqua"/>
          <w:sz w:val="22"/>
          <w:szCs w:val="22"/>
        </w:rPr>
        <w:t xml:space="preserve">zia giudiziaria “nell’atto o a causa dell’adempimento delle funzioni”. </w:t>
      </w:r>
    </w:p>
    <w:p w14:paraId="4A24E178" w14:textId="77777777" w:rsidR="00387B82" w:rsidRDefault="00387B82" w:rsidP="0092761F">
      <w:pPr>
        <w:suppressAutoHyphens w:val="0"/>
        <w:spacing w:after="0" w:line="240" w:lineRule="auto"/>
        <w:jc w:val="both"/>
        <w:rPr>
          <w:rFonts w:ascii="Book Antiqua" w:hAnsi="Book Antiqua"/>
          <w:sz w:val="22"/>
          <w:szCs w:val="22"/>
        </w:rPr>
      </w:pPr>
    </w:p>
    <w:p w14:paraId="264DEE27" w14:textId="01378639" w:rsidR="00450C03" w:rsidRPr="006559B6" w:rsidRDefault="00450C03" w:rsidP="0092761F">
      <w:pPr>
        <w:suppressAutoHyphens w:val="0"/>
        <w:spacing w:after="0" w:line="240" w:lineRule="auto"/>
        <w:jc w:val="both"/>
        <w:rPr>
          <w:rFonts w:ascii="Book Antiqua" w:hAnsi="Book Antiqua"/>
          <w:sz w:val="22"/>
          <w:szCs w:val="22"/>
        </w:rPr>
      </w:pPr>
      <w:r w:rsidRPr="006559B6">
        <w:rPr>
          <w:rFonts w:ascii="Book Antiqua" w:hAnsi="Book Antiqua"/>
          <w:sz w:val="22"/>
          <w:szCs w:val="22"/>
        </w:rPr>
        <w:t>Non solo, a differenza della formulazione previge</w:t>
      </w:r>
      <w:r w:rsidRPr="006559B6">
        <w:rPr>
          <w:rFonts w:ascii="Book Antiqua" w:hAnsi="Book Antiqua"/>
          <w:sz w:val="22"/>
          <w:szCs w:val="22"/>
        </w:rPr>
        <w:t>n</w:t>
      </w:r>
      <w:r w:rsidRPr="006559B6">
        <w:rPr>
          <w:rFonts w:ascii="Book Antiqua" w:hAnsi="Book Antiqua"/>
          <w:sz w:val="22"/>
          <w:szCs w:val="22"/>
        </w:rPr>
        <w:t>te, che, con specifico riferimento ai pubblici ufficiali, disciplinava le sole ipotesi di lesioni gravi e gravissime (facendo ric</w:t>
      </w:r>
      <w:r w:rsidRPr="006559B6">
        <w:rPr>
          <w:rFonts w:ascii="Book Antiqua" w:hAnsi="Book Antiqua"/>
          <w:sz w:val="22"/>
          <w:szCs w:val="22"/>
        </w:rPr>
        <w:t>a</w:t>
      </w:r>
      <w:r w:rsidRPr="006559B6">
        <w:rPr>
          <w:rFonts w:ascii="Book Antiqua" w:hAnsi="Book Antiqua"/>
          <w:sz w:val="22"/>
          <w:szCs w:val="22"/>
        </w:rPr>
        <w:t>dere le lesioni lievi o lievissime nell’articolo 582 c.p. - Lesione personale), la novella i</w:t>
      </w:r>
      <w:r w:rsidRPr="006559B6">
        <w:rPr>
          <w:rFonts w:ascii="Book Antiqua" w:hAnsi="Book Antiqua"/>
          <w:sz w:val="22"/>
          <w:szCs w:val="22"/>
        </w:rPr>
        <w:t>n</w:t>
      </w:r>
      <w:r w:rsidRPr="006559B6">
        <w:rPr>
          <w:rFonts w:ascii="Book Antiqua" w:hAnsi="Book Antiqua"/>
          <w:sz w:val="22"/>
          <w:szCs w:val="22"/>
        </w:rPr>
        <w:t>troduce una specifica sanzione anche per le lesi</w:t>
      </w:r>
      <w:r w:rsidRPr="006559B6">
        <w:rPr>
          <w:rFonts w:ascii="Book Antiqua" w:hAnsi="Book Antiqua"/>
          <w:sz w:val="22"/>
          <w:szCs w:val="22"/>
        </w:rPr>
        <w:t>o</w:t>
      </w:r>
      <w:r w:rsidRPr="006559B6">
        <w:rPr>
          <w:rFonts w:ascii="Book Antiqua" w:hAnsi="Book Antiqua"/>
          <w:sz w:val="22"/>
          <w:szCs w:val="22"/>
        </w:rPr>
        <w:t>ni lievi o lievissime compiute in danno di un operatore della sicurezza (agente o ufficiale di polizia giudiziaria o pubblica sic</w:t>
      </w:r>
      <w:r w:rsidRPr="006559B6">
        <w:rPr>
          <w:rFonts w:ascii="Book Antiqua" w:hAnsi="Book Antiqua"/>
          <w:sz w:val="22"/>
          <w:szCs w:val="22"/>
        </w:rPr>
        <w:t>u</w:t>
      </w:r>
      <w:r w:rsidRPr="006559B6">
        <w:rPr>
          <w:rFonts w:ascii="Book Antiqua" w:hAnsi="Book Antiqua"/>
          <w:sz w:val="22"/>
          <w:szCs w:val="22"/>
        </w:rPr>
        <w:t>rezza), in analogia a quanto previsto dal secondo comma per gli esercenti una profe</w:t>
      </w:r>
      <w:r w:rsidRPr="006559B6">
        <w:rPr>
          <w:rFonts w:ascii="Book Antiqua" w:hAnsi="Book Antiqua"/>
          <w:sz w:val="22"/>
          <w:szCs w:val="22"/>
        </w:rPr>
        <w:t>s</w:t>
      </w:r>
      <w:r w:rsidRPr="006559B6">
        <w:rPr>
          <w:rFonts w:ascii="Book Antiqua" w:hAnsi="Book Antiqua"/>
          <w:sz w:val="22"/>
          <w:szCs w:val="22"/>
        </w:rPr>
        <w:t>sione sanitaria e garantendo, quindi, una omogeneità di trattamento rispetto agli stessi. Si sostituisce inoltre la rubrica dell’articolo integrandola con le nuove previsioni di cui alle modif</w:t>
      </w:r>
      <w:r w:rsidRPr="006559B6">
        <w:rPr>
          <w:rFonts w:ascii="Book Antiqua" w:hAnsi="Book Antiqua"/>
          <w:sz w:val="22"/>
          <w:szCs w:val="22"/>
        </w:rPr>
        <w:t>i</w:t>
      </w:r>
      <w:r w:rsidRPr="006559B6">
        <w:rPr>
          <w:rFonts w:ascii="Book Antiqua" w:hAnsi="Book Antiqua"/>
          <w:sz w:val="22"/>
          <w:szCs w:val="22"/>
        </w:rPr>
        <w:t>che apportate al medesimo articolo.</w:t>
      </w:r>
    </w:p>
    <w:p w14:paraId="713EA9B7" w14:textId="77777777" w:rsidR="00450C03" w:rsidRDefault="00450C03" w:rsidP="0092761F">
      <w:pPr>
        <w:suppressAutoHyphens w:val="0"/>
        <w:spacing w:after="0" w:line="240" w:lineRule="auto"/>
        <w:jc w:val="both"/>
        <w:rPr>
          <w:rFonts w:ascii="Book Antiqua" w:hAnsi="Book Antiqua"/>
          <w:sz w:val="22"/>
          <w:szCs w:val="22"/>
        </w:rPr>
      </w:pPr>
    </w:p>
    <w:p w14:paraId="26C45E4E" w14:textId="2445C84A" w:rsidR="00387B82" w:rsidRPr="006559B6" w:rsidRDefault="00387B82" w:rsidP="0092761F">
      <w:pPr>
        <w:suppressAutoHyphens w:val="0"/>
        <w:spacing w:after="0" w:line="240" w:lineRule="auto"/>
        <w:jc w:val="both"/>
        <w:rPr>
          <w:rFonts w:ascii="Book Antiqua" w:hAnsi="Book Antiqua"/>
          <w:sz w:val="22"/>
          <w:szCs w:val="22"/>
        </w:rPr>
      </w:pPr>
      <w:r>
        <w:rPr>
          <w:rFonts w:ascii="Book Antiqua" w:hAnsi="Book Antiqua"/>
          <w:sz w:val="22"/>
          <w:szCs w:val="22"/>
        </w:rPr>
        <w:t>L’intervento può essere valutato positivamente in quanto mira ed evitare disegu</w:t>
      </w:r>
      <w:r>
        <w:rPr>
          <w:rFonts w:ascii="Book Antiqua" w:hAnsi="Book Antiqua"/>
          <w:sz w:val="22"/>
          <w:szCs w:val="22"/>
        </w:rPr>
        <w:t>a</w:t>
      </w:r>
      <w:r>
        <w:rPr>
          <w:rFonts w:ascii="Book Antiqua" w:hAnsi="Book Antiqua"/>
          <w:sz w:val="22"/>
          <w:szCs w:val="22"/>
        </w:rPr>
        <w:t>glianze non ragionevoli.</w:t>
      </w:r>
    </w:p>
    <w:p w14:paraId="39803ECE" w14:textId="77777777" w:rsidR="00450C03" w:rsidRPr="006559B6" w:rsidRDefault="00450C03" w:rsidP="0092761F">
      <w:pPr>
        <w:suppressAutoHyphens w:val="0"/>
        <w:spacing w:after="0" w:line="240" w:lineRule="auto"/>
        <w:jc w:val="both"/>
        <w:rPr>
          <w:rFonts w:ascii="Book Antiqua" w:hAnsi="Book Antiqua"/>
          <w:sz w:val="22"/>
          <w:szCs w:val="22"/>
        </w:rPr>
      </w:pPr>
    </w:p>
    <w:p w14:paraId="1B2D4430" w14:textId="77777777" w:rsidR="00387B82" w:rsidRPr="00387B82" w:rsidRDefault="00387B82" w:rsidP="0092761F">
      <w:pPr>
        <w:suppressAutoHyphens w:val="0"/>
        <w:spacing w:after="0" w:line="240" w:lineRule="auto"/>
        <w:jc w:val="both"/>
        <w:rPr>
          <w:rFonts w:ascii="Book Antiqua" w:hAnsi="Book Antiqua"/>
          <w:b/>
          <w:sz w:val="22"/>
          <w:szCs w:val="22"/>
        </w:rPr>
      </w:pPr>
      <w:r w:rsidRPr="00387B82">
        <w:rPr>
          <w:rFonts w:ascii="Book Antiqua" w:hAnsi="Book Antiqua"/>
          <w:b/>
          <w:sz w:val="22"/>
          <w:szCs w:val="22"/>
        </w:rPr>
        <w:t>7. Articolo 16 -</w:t>
      </w:r>
      <w:r w:rsidR="00450C03" w:rsidRPr="00387B82">
        <w:rPr>
          <w:rFonts w:ascii="Book Antiqua" w:hAnsi="Book Antiqua"/>
          <w:b/>
          <w:sz w:val="22"/>
          <w:szCs w:val="22"/>
        </w:rPr>
        <w:t>Norme a tutela dei beni mobili e immobili adibiti all’esercizio di fu</w:t>
      </w:r>
      <w:r w:rsidR="00450C03" w:rsidRPr="00387B82">
        <w:rPr>
          <w:rFonts w:ascii="Book Antiqua" w:hAnsi="Book Antiqua"/>
          <w:b/>
          <w:sz w:val="22"/>
          <w:szCs w:val="22"/>
        </w:rPr>
        <w:t>n</w:t>
      </w:r>
      <w:r w:rsidR="00450C03" w:rsidRPr="00387B82">
        <w:rPr>
          <w:rFonts w:ascii="Book Antiqua" w:hAnsi="Book Antiqua"/>
          <w:b/>
          <w:sz w:val="22"/>
          <w:szCs w:val="22"/>
        </w:rPr>
        <w:t>zio</w:t>
      </w:r>
      <w:r w:rsidRPr="00387B82">
        <w:rPr>
          <w:rFonts w:ascii="Book Antiqua" w:hAnsi="Book Antiqua"/>
          <w:b/>
          <w:sz w:val="22"/>
          <w:szCs w:val="22"/>
        </w:rPr>
        <w:t>ni pubbliche.</w:t>
      </w:r>
      <w:r w:rsidR="00450C03" w:rsidRPr="00387B82">
        <w:rPr>
          <w:rFonts w:ascii="Book Antiqua" w:hAnsi="Book Antiqua"/>
          <w:b/>
          <w:sz w:val="22"/>
          <w:szCs w:val="22"/>
        </w:rPr>
        <w:t xml:space="preserve"> </w:t>
      </w:r>
    </w:p>
    <w:p w14:paraId="64368CB6" w14:textId="77777777" w:rsidR="00387B82" w:rsidRDefault="00387B82" w:rsidP="0092761F">
      <w:pPr>
        <w:suppressAutoHyphens w:val="0"/>
        <w:spacing w:after="0" w:line="240" w:lineRule="auto"/>
        <w:jc w:val="both"/>
        <w:rPr>
          <w:rFonts w:ascii="Book Antiqua" w:hAnsi="Book Antiqua"/>
          <w:sz w:val="22"/>
          <w:szCs w:val="22"/>
        </w:rPr>
      </w:pPr>
    </w:p>
    <w:p w14:paraId="0E47D395" w14:textId="329DA102" w:rsidR="00450C03" w:rsidRDefault="00450C03" w:rsidP="0092761F">
      <w:pPr>
        <w:suppressAutoHyphens w:val="0"/>
        <w:spacing w:after="0" w:line="240" w:lineRule="auto"/>
        <w:jc w:val="both"/>
        <w:rPr>
          <w:rFonts w:ascii="Book Antiqua" w:hAnsi="Book Antiqua"/>
          <w:sz w:val="22"/>
          <w:szCs w:val="22"/>
        </w:rPr>
      </w:pPr>
      <w:r w:rsidRPr="006559B6">
        <w:rPr>
          <w:rFonts w:ascii="Book Antiqua" w:hAnsi="Book Antiqua"/>
          <w:sz w:val="22"/>
          <w:szCs w:val="22"/>
        </w:rPr>
        <w:t>L’intervento realizzato con l’articolo 16 inserisce specifiche disposizioni a tutela dei b</w:t>
      </w:r>
      <w:r w:rsidRPr="006559B6">
        <w:rPr>
          <w:rFonts w:ascii="Book Antiqua" w:hAnsi="Book Antiqua"/>
          <w:sz w:val="22"/>
          <w:szCs w:val="22"/>
        </w:rPr>
        <w:t>e</w:t>
      </w:r>
      <w:r w:rsidRPr="006559B6">
        <w:rPr>
          <w:rFonts w:ascii="Book Antiqua" w:hAnsi="Book Antiqua"/>
          <w:sz w:val="22"/>
          <w:szCs w:val="22"/>
        </w:rPr>
        <w:t>ni mobili e immobili adibiti all’esercizio di funzioni pubbliche. Nello specifico si co</w:t>
      </w:r>
      <w:r w:rsidRPr="006559B6">
        <w:rPr>
          <w:rFonts w:ascii="Book Antiqua" w:hAnsi="Book Antiqua"/>
          <w:sz w:val="22"/>
          <w:szCs w:val="22"/>
        </w:rPr>
        <w:t>m</w:t>
      </w:r>
      <w:r w:rsidRPr="006559B6">
        <w:rPr>
          <w:rFonts w:ascii="Book Antiqua" w:hAnsi="Book Antiqua"/>
          <w:sz w:val="22"/>
          <w:szCs w:val="22"/>
        </w:rPr>
        <w:t>pleta l’attuale disciplina in materia di deturpamento e imbrattamento di c</w:t>
      </w:r>
      <w:r w:rsidRPr="006559B6">
        <w:rPr>
          <w:rFonts w:ascii="Book Antiqua" w:hAnsi="Book Antiqua"/>
          <w:sz w:val="22"/>
          <w:szCs w:val="22"/>
        </w:rPr>
        <w:t>o</w:t>
      </w:r>
      <w:r w:rsidRPr="006559B6">
        <w:rPr>
          <w:rFonts w:ascii="Book Antiqua" w:hAnsi="Book Antiqua"/>
          <w:sz w:val="22"/>
          <w:szCs w:val="22"/>
        </w:rPr>
        <w:t>se altrui con due modifiche all’articolo 639 c.p., prevedendo la punibilità con la reclusione da sei mesi a 1 anno e sei mesi e la multa da 1.000 a 3.000 euro se il fatto è co</w:t>
      </w:r>
      <w:r w:rsidRPr="006559B6">
        <w:rPr>
          <w:rFonts w:ascii="Book Antiqua" w:hAnsi="Book Antiqua"/>
          <w:sz w:val="22"/>
          <w:szCs w:val="22"/>
        </w:rPr>
        <w:t>m</w:t>
      </w:r>
      <w:r w:rsidRPr="006559B6">
        <w:rPr>
          <w:rFonts w:ascii="Book Antiqua" w:hAnsi="Book Antiqua"/>
          <w:sz w:val="22"/>
          <w:szCs w:val="22"/>
        </w:rPr>
        <w:t>messo su beni mobili o immobili adibiti all’esercizio di funzioni pubbliche, con finalità di ledere l’onore, il prestigio o il decoro dell’istituzione cui il bene appartiene, e nel caso di rec</w:t>
      </w:r>
      <w:r w:rsidRPr="006559B6">
        <w:rPr>
          <w:rFonts w:ascii="Book Antiqua" w:hAnsi="Book Antiqua"/>
          <w:sz w:val="22"/>
          <w:szCs w:val="22"/>
        </w:rPr>
        <w:t>i</w:t>
      </w:r>
      <w:r w:rsidRPr="006559B6">
        <w:rPr>
          <w:rFonts w:ascii="Book Antiqua" w:hAnsi="Book Antiqua"/>
          <w:sz w:val="22"/>
          <w:szCs w:val="22"/>
        </w:rPr>
        <w:t>diva l’ applicazione della reclusione da sei mesi a tre anni e la multa fino a 12.000 euro</w:t>
      </w:r>
      <w:r w:rsidR="002A12D9">
        <w:rPr>
          <w:rFonts w:ascii="Book Antiqua" w:hAnsi="Book Antiqua"/>
          <w:sz w:val="22"/>
          <w:szCs w:val="22"/>
        </w:rPr>
        <w:t xml:space="preserve">. </w:t>
      </w:r>
    </w:p>
    <w:p w14:paraId="31A56B31" w14:textId="77777777" w:rsidR="002A12D9" w:rsidRDefault="002A12D9" w:rsidP="0092761F">
      <w:pPr>
        <w:suppressAutoHyphens w:val="0"/>
        <w:spacing w:after="0" w:line="240" w:lineRule="auto"/>
        <w:jc w:val="both"/>
        <w:rPr>
          <w:rFonts w:ascii="Book Antiqua" w:hAnsi="Book Antiqua"/>
          <w:sz w:val="22"/>
          <w:szCs w:val="22"/>
        </w:rPr>
      </w:pPr>
    </w:p>
    <w:p w14:paraId="5DEC746A" w14:textId="5E5B18E0" w:rsidR="002A12D9" w:rsidRPr="006559B6" w:rsidRDefault="002A12D9" w:rsidP="0092761F">
      <w:pPr>
        <w:suppressAutoHyphens w:val="0"/>
        <w:spacing w:after="0" w:line="240" w:lineRule="auto"/>
        <w:jc w:val="both"/>
        <w:rPr>
          <w:rFonts w:ascii="Book Antiqua" w:hAnsi="Book Antiqua"/>
          <w:sz w:val="22"/>
          <w:szCs w:val="22"/>
        </w:rPr>
      </w:pPr>
      <w:r>
        <w:rPr>
          <w:rFonts w:ascii="Book Antiqua" w:hAnsi="Book Antiqua"/>
          <w:sz w:val="22"/>
          <w:szCs w:val="22"/>
        </w:rPr>
        <w:t>Opportuno l’intervento mediante la tecnica delle circostanze.</w:t>
      </w:r>
    </w:p>
    <w:p w14:paraId="4150FBE1" w14:textId="77777777" w:rsidR="00450C03" w:rsidRPr="006559B6" w:rsidRDefault="00450C03" w:rsidP="0092761F">
      <w:pPr>
        <w:suppressAutoHyphens w:val="0"/>
        <w:spacing w:after="0" w:line="240" w:lineRule="auto"/>
        <w:jc w:val="both"/>
        <w:rPr>
          <w:rFonts w:ascii="Book Antiqua" w:hAnsi="Book Antiqua"/>
          <w:sz w:val="22"/>
          <w:szCs w:val="22"/>
        </w:rPr>
      </w:pPr>
    </w:p>
    <w:p w14:paraId="082E6B0A" w14:textId="77777777" w:rsidR="00450C03" w:rsidRPr="006559B6" w:rsidRDefault="00450C03" w:rsidP="0092761F">
      <w:pPr>
        <w:suppressAutoHyphens w:val="0"/>
        <w:spacing w:after="0" w:line="240" w:lineRule="auto"/>
        <w:jc w:val="both"/>
        <w:rPr>
          <w:rFonts w:ascii="Book Antiqua" w:hAnsi="Book Antiqua"/>
          <w:sz w:val="22"/>
          <w:szCs w:val="22"/>
        </w:rPr>
      </w:pPr>
    </w:p>
    <w:p w14:paraId="02B851C2" w14:textId="77777777" w:rsidR="00387B82" w:rsidRPr="00387B82" w:rsidRDefault="00387B82" w:rsidP="0092761F">
      <w:pPr>
        <w:suppressAutoHyphens w:val="0"/>
        <w:spacing w:after="0" w:line="240" w:lineRule="auto"/>
        <w:jc w:val="both"/>
        <w:rPr>
          <w:rFonts w:ascii="Book Antiqua" w:hAnsi="Book Antiqua"/>
          <w:b/>
          <w:sz w:val="22"/>
          <w:szCs w:val="22"/>
        </w:rPr>
      </w:pPr>
      <w:r w:rsidRPr="00387B82">
        <w:rPr>
          <w:rFonts w:ascii="Book Antiqua" w:hAnsi="Book Antiqua"/>
          <w:b/>
          <w:sz w:val="22"/>
          <w:szCs w:val="22"/>
        </w:rPr>
        <w:t>8. Articolo 7 Revoca della cittadinanza.</w:t>
      </w:r>
      <w:r w:rsidR="00450C03" w:rsidRPr="00387B82">
        <w:rPr>
          <w:rFonts w:ascii="Book Antiqua" w:hAnsi="Book Antiqua"/>
          <w:b/>
          <w:sz w:val="22"/>
          <w:szCs w:val="22"/>
        </w:rPr>
        <w:t xml:space="preserve"> </w:t>
      </w:r>
    </w:p>
    <w:p w14:paraId="5206AD7A" w14:textId="77777777" w:rsidR="00387B82" w:rsidRDefault="00387B82" w:rsidP="0092761F">
      <w:pPr>
        <w:suppressAutoHyphens w:val="0"/>
        <w:spacing w:after="0" w:line="240" w:lineRule="auto"/>
        <w:jc w:val="both"/>
        <w:rPr>
          <w:rFonts w:ascii="Book Antiqua" w:hAnsi="Book Antiqua"/>
          <w:sz w:val="22"/>
          <w:szCs w:val="22"/>
        </w:rPr>
      </w:pPr>
    </w:p>
    <w:p w14:paraId="1E08F8B9" w14:textId="74253246" w:rsidR="00450C03" w:rsidRPr="006559B6" w:rsidRDefault="00450C03" w:rsidP="0092761F">
      <w:pPr>
        <w:suppressAutoHyphens w:val="0"/>
        <w:spacing w:after="0" w:line="240" w:lineRule="auto"/>
        <w:jc w:val="both"/>
        <w:rPr>
          <w:rFonts w:ascii="Book Antiqua" w:hAnsi="Book Antiqua"/>
          <w:sz w:val="22"/>
          <w:szCs w:val="22"/>
        </w:rPr>
      </w:pPr>
      <w:r w:rsidRPr="006559B6">
        <w:rPr>
          <w:rFonts w:ascii="Book Antiqua" w:hAnsi="Book Antiqua"/>
          <w:sz w:val="22"/>
          <w:szCs w:val="22"/>
        </w:rPr>
        <w:t>La disposizione modifica l’articolo 10-bis della legge 5 febbraio 1992, n. 91, che disc</w:t>
      </w:r>
      <w:r w:rsidRPr="006559B6">
        <w:rPr>
          <w:rFonts w:ascii="Book Antiqua" w:hAnsi="Book Antiqua"/>
          <w:sz w:val="22"/>
          <w:szCs w:val="22"/>
        </w:rPr>
        <w:t>i</w:t>
      </w:r>
      <w:r w:rsidRPr="006559B6">
        <w:rPr>
          <w:rFonts w:ascii="Book Antiqua" w:hAnsi="Book Antiqua"/>
          <w:sz w:val="22"/>
          <w:szCs w:val="22"/>
        </w:rPr>
        <w:t>plina la revoca della cittadinanza. L’attuale form</w:t>
      </w:r>
      <w:r w:rsidRPr="006559B6">
        <w:rPr>
          <w:rFonts w:ascii="Book Antiqua" w:hAnsi="Book Antiqua"/>
          <w:sz w:val="22"/>
          <w:szCs w:val="22"/>
        </w:rPr>
        <w:t>u</w:t>
      </w:r>
      <w:r w:rsidRPr="006559B6">
        <w:rPr>
          <w:rFonts w:ascii="Book Antiqua" w:hAnsi="Book Antiqua"/>
          <w:sz w:val="22"/>
          <w:szCs w:val="22"/>
        </w:rPr>
        <w:t>lazione del citato articolo, introdotto dal decreto-legge 4 ottobre 2018, n. 113, convertito, con modificazioni, dalla legge 1° d</w:t>
      </w:r>
      <w:r w:rsidRPr="006559B6">
        <w:rPr>
          <w:rFonts w:ascii="Book Antiqua" w:hAnsi="Book Antiqua"/>
          <w:sz w:val="22"/>
          <w:szCs w:val="22"/>
        </w:rPr>
        <w:t>i</w:t>
      </w:r>
      <w:r w:rsidRPr="006559B6">
        <w:rPr>
          <w:rFonts w:ascii="Book Antiqua" w:hAnsi="Book Antiqua"/>
          <w:sz w:val="22"/>
          <w:szCs w:val="22"/>
        </w:rPr>
        <w:t>cembre 2018, n. 132, prevede un’ipotesi di revoca della cittadinanza in caso di conda</w:t>
      </w:r>
      <w:r w:rsidRPr="006559B6">
        <w:rPr>
          <w:rFonts w:ascii="Book Antiqua" w:hAnsi="Book Antiqua"/>
          <w:sz w:val="22"/>
          <w:szCs w:val="22"/>
        </w:rPr>
        <w:t>n</w:t>
      </w:r>
      <w:r w:rsidRPr="006559B6">
        <w:rPr>
          <w:rFonts w:ascii="Book Antiqua" w:hAnsi="Book Antiqua"/>
          <w:sz w:val="22"/>
          <w:szCs w:val="22"/>
        </w:rPr>
        <w:t>na definitiva per taluni gravi reati: delitti commessi per finalità di terrorismo o di eve</w:t>
      </w:r>
      <w:r w:rsidRPr="006559B6">
        <w:rPr>
          <w:rFonts w:ascii="Book Antiqua" w:hAnsi="Book Antiqua"/>
          <w:sz w:val="22"/>
          <w:szCs w:val="22"/>
        </w:rPr>
        <w:t>r</w:t>
      </w:r>
      <w:r w:rsidRPr="006559B6">
        <w:rPr>
          <w:rFonts w:ascii="Book Antiqua" w:hAnsi="Book Antiqua"/>
          <w:sz w:val="22"/>
          <w:szCs w:val="22"/>
        </w:rPr>
        <w:t>sione dell’ordine costituzionale per i quali la legge stabilisce la pena della reclusione non inferiore, nel minimo, a 5 anni o, nel massimo, a 10 anni (art. 407, comma 2, lett. a), n. 4); ricostituzione, anche sotto falso nome o in forma simulata, di associazioni sovve</w:t>
      </w:r>
      <w:r w:rsidRPr="006559B6">
        <w:rPr>
          <w:rFonts w:ascii="Book Antiqua" w:hAnsi="Book Antiqua"/>
          <w:sz w:val="22"/>
          <w:szCs w:val="22"/>
        </w:rPr>
        <w:t>r</w:t>
      </w:r>
      <w:r w:rsidRPr="006559B6">
        <w:rPr>
          <w:rFonts w:ascii="Book Antiqua" w:hAnsi="Book Antiqua"/>
          <w:sz w:val="22"/>
          <w:szCs w:val="22"/>
        </w:rPr>
        <w:t>sive delle quali sia stato ordinato lo scioglimento (art. 407, comma 1, lett. a) n. 4), che rinvia all’art. 270, terzo comma, c.p.); partecipazi</w:t>
      </w:r>
      <w:r w:rsidRPr="006559B6">
        <w:rPr>
          <w:rFonts w:ascii="Book Antiqua" w:hAnsi="Book Antiqua"/>
          <w:sz w:val="22"/>
          <w:szCs w:val="22"/>
        </w:rPr>
        <w:t>o</w:t>
      </w:r>
      <w:r w:rsidRPr="006559B6">
        <w:rPr>
          <w:rFonts w:ascii="Book Antiqua" w:hAnsi="Book Antiqua"/>
          <w:sz w:val="22"/>
          <w:szCs w:val="22"/>
        </w:rPr>
        <w:t>ne a banda armata (art. 407, comma 1, lett. a), n. 4), che rinvia all’art. 306, secondo comma, c.p.); assistenza agli appartenenti ad associazioni sovversive o associazioni con finalità di terrorismo, anche internazion</w:t>
      </w:r>
      <w:r w:rsidRPr="006559B6">
        <w:rPr>
          <w:rFonts w:ascii="Book Antiqua" w:hAnsi="Book Antiqua"/>
          <w:sz w:val="22"/>
          <w:szCs w:val="22"/>
        </w:rPr>
        <w:t>a</w:t>
      </w:r>
      <w:r w:rsidRPr="006559B6">
        <w:rPr>
          <w:rFonts w:ascii="Book Antiqua" w:hAnsi="Book Antiqua"/>
          <w:sz w:val="22"/>
          <w:szCs w:val="22"/>
        </w:rPr>
        <w:t>le (art. 270-ter c.p.). Questa fattispecie è espressamente richiamata; sottrazione di beni o denaro sottoposti a sequestro per pr</w:t>
      </w:r>
      <w:r w:rsidRPr="006559B6">
        <w:rPr>
          <w:rFonts w:ascii="Book Antiqua" w:hAnsi="Book Antiqua"/>
          <w:sz w:val="22"/>
          <w:szCs w:val="22"/>
        </w:rPr>
        <w:t>e</w:t>
      </w:r>
      <w:r w:rsidRPr="006559B6">
        <w:rPr>
          <w:rFonts w:ascii="Book Antiqua" w:hAnsi="Book Antiqua"/>
          <w:sz w:val="22"/>
          <w:szCs w:val="22"/>
        </w:rPr>
        <w:t>venire il finanziamento del terrorismo (art. 270-quinquies.2 c.p.). Anche questa fatt</w:t>
      </w:r>
      <w:r w:rsidRPr="006559B6">
        <w:rPr>
          <w:rFonts w:ascii="Book Antiqua" w:hAnsi="Book Antiqua"/>
          <w:sz w:val="22"/>
          <w:szCs w:val="22"/>
        </w:rPr>
        <w:t>i</w:t>
      </w:r>
      <w:r w:rsidRPr="006559B6">
        <w:rPr>
          <w:rFonts w:ascii="Book Antiqua" w:hAnsi="Book Antiqua"/>
          <w:sz w:val="22"/>
          <w:szCs w:val="22"/>
        </w:rPr>
        <w:t>specie è espressamente richiamata dal legislatore. La revoca della cittadinanza è adott</w:t>
      </w:r>
      <w:r w:rsidRPr="006559B6">
        <w:rPr>
          <w:rFonts w:ascii="Book Antiqua" w:hAnsi="Book Antiqua"/>
          <w:sz w:val="22"/>
          <w:szCs w:val="22"/>
        </w:rPr>
        <w:t>a</w:t>
      </w:r>
      <w:r w:rsidRPr="006559B6">
        <w:rPr>
          <w:rFonts w:ascii="Book Antiqua" w:hAnsi="Book Antiqua"/>
          <w:sz w:val="22"/>
          <w:szCs w:val="22"/>
        </w:rPr>
        <w:t>ta con decreto del Presidente della Repubblica, su proposta del Ministro dell’interno, entro tre anni dal passaggio in giudicato della se</w:t>
      </w:r>
      <w:r w:rsidRPr="006559B6">
        <w:rPr>
          <w:rFonts w:ascii="Book Antiqua" w:hAnsi="Book Antiqua"/>
          <w:sz w:val="22"/>
          <w:szCs w:val="22"/>
        </w:rPr>
        <w:t>n</w:t>
      </w:r>
      <w:r w:rsidRPr="006559B6">
        <w:rPr>
          <w:rFonts w:ascii="Book Antiqua" w:hAnsi="Book Antiqua"/>
          <w:sz w:val="22"/>
          <w:szCs w:val="22"/>
        </w:rPr>
        <w:t>tenza di condanna. In particolare, l’intervento proposto di cui alla lettera a) integra la previsione del citato articolo 10-bis, inserendo la clausola secondo la quale non si può procedere al provvedimento di revoca laddove l’interessato non possieda un’altra ci</w:t>
      </w:r>
      <w:r w:rsidRPr="006559B6">
        <w:rPr>
          <w:rFonts w:ascii="Book Antiqua" w:hAnsi="Book Antiqua"/>
          <w:sz w:val="22"/>
          <w:szCs w:val="22"/>
        </w:rPr>
        <w:t>t</w:t>
      </w:r>
      <w:r w:rsidRPr="006559B6">
        <w:rPr>
          <w:rFonts w:ascii="Book Antiqua" w:hAnsi="Book Antiqua"/>
          <w:sz w:val="22"/>
          <w:szCs w:val="22"/>
        </w:rPr>
        <w:t>tadinanza ovvero non ne possa acqu</w:t>
      </w:r>
      <w:r w:rsidRPr="006559B6">
        <w:rPr>
          <w:rFonts w:ascii="Book Antiqua" w:hAnsi="Book Antiqua"/>
          <w:sz w:val="22"/>
          <w:szCs w:val="22"/>
        </w:rPr>
        <w:t>i</w:t>
      </w:r>
      <w:r w:rsidRPr="006559B6">
        <w:rPr>
          <w:rFonts w:ascii="Book Antiqua" w:hAnsi="Book Antiqua"/>
          <w:sz w:val="22"/>
          <w:szCs w:val="22"/>
        </w:rPr>
        <w:t>sire altra. La ratio della proposta è da rinvenire nella necessità di prevenire situazioni di apolidia, che, invece, verrebbero a crearsi la</w:t>
      </w:r>
      <w:r w:rsidRPr="006559B6">
        <w:rPr>
          <w:rFonts w:ascii="Book Antiqua" w:hAnsi="Book Antiqua"/>
          <w:sz w:val="22"/>
          <w:szCs w:val="22"/>
        </w:rPr>
        <w:t>d</w:t>
      </w:r>
      <w:r w:rsidRPr="006559B6">
        <w:rPr>
          <w:rFonts w:ascii="Book Antiqua" w:hAnsi="Book Antiqua"/>
          <w:sz w:val="22"/>
          <w:szCs w:val="22"/>
        </w:rPr>
        <w:t>dove, in caso di revoca della cittadinanza italiana, l’interessato non possieda o non po</w:t>
      </w:r>
      <w:r w:rsidRPr="006559B6">
        <w:rPr>
          <w:rFonts w:ascii="Book Antiqua" w:hAnsi="Book Antiqua"/>
          <w:sz w:val="22"/>
          <w:szCs w:val="22"/>
        </w:rPr>
        <w:t>s</w:t>
      </w:r>
      <w:r w:rsidRPr="006559B6">
        <w:rPr>
          <w:rFonts w:ascii="Book Antiqua" w:hAnsi="Book Antiqua"/>
          <w:sz w:val="22"/>
          <w:szCs w:val="22"/>
        </w:rPr>
        <w:t xml:space="preserve">sa acquisire altra cittadinanza, in linea con quanto previsto dalla Convenzione delle Nazioni Unite sui casi di apolidia fatta a New York il 30 agosto 1961, ratificata dall’Italia con legge 29 settembre 2015, n. 162. L’intervento di cui alla lettera b) estende a 10 anni il termine entro il quale poter esercitare la revoca della cittadinanza concessa allo straniero in presenza di condanne definitive per i reati previsti dall’articolo 407, comma 2, lettera a), n. 4), del codice di procedura penale, nonché per i reati di cui agli articoli 270-ter e 270-quinquies. 2, del codice penale. La ratio dell’estensione di tale </w:t>
      </w:r>
      <w:r w:rsidRPr="006559B6">
        <w:rPr>
          <w:rFonts w:ascii="Book Antiqua" w:hAnsi="Book Antiqua"/>
          <w:sz w:val="22"/>
          <w:szCs w:val="22"/>
        </w:rPr>
        <w:lastRenderedPageBreak/>
        <w:t>termine è quella di rafforzare l’operatività dell’istituto, in un’ottica di maggiore tutela della sicurezza nazionale.</w:t>
      </w:r>
    </w:p>
    <w:p w14:paraId="319541DB" w14:textId="77777777" w:rsidR="00450C03" w:rsidRDefault="00450C03" w:rsidP="0092761F">
      <w:pPr>
        <w:suppressAutoHyphens w:val="0"/>
        <w:spacing w:after="0" w:line="240" w:lineRule="auto"/>
        <w:jc w:val="both"/>
        <w:rPr>
          <w:rFonts w:ascii="Book Antiqua" w:hAnsi="Book Antiqua"/>
          <w:sz w:val="22"/>
          <w:szCs w:val="22"/>
        </w:rPr>
      </w:pPr>
    </w:p>
    <w:p w14:paraId="461AF782" w14:textId="2EB7496A" w:rsidR="006559B6" w:rsidRPr="006559B6" w:rsidRDefault="006F2FF2" w:rsidP="006559B6">
      <w:pPr>
        <w:suppressAutoHyphens w:val="0"/>
        <w:spacing w:after="0" w:line="240" w:lineRule="auto"/>
        <w:jc w:val="both"/>
        <w:rPr>
          <w:rFonts w:ascii="Book Antiqua" w:hAnsi="Book Antiqua"/>
          <w:sz w:val="22"/>
          <w:szCs w:val="22"/>
        </w:rPr>
      </w:pPr>
      <w:r>
        <w:rPr>
          <w:rFonts w:ascii="Book Antiqua" w:hAnsi="Book Antiqua"/>
          <w:sz w:val="22"/>
          <w:szCs w:val="22"/>
        </w:rPr>
        <w:t>Rispetto a tale previsione, posto che ci si colloca nel contesto della nozione convenzi</w:t>
      </w:r>
      <w:r>
        <w:rPr>
          <w:rFonts w:ascii="Book Antiqua" w:hAnsi="Book Antiqua"/>
          <w:sz w:val="22"/>
          <w:szCs w:val="22"/>
        </w:rPr>
        <w:t>o</w:t>
      </w:r>
      <w:r>
        <w:rPr>
          <w:rFonts w:ascii="Book Antiqua" w:hAnsi="Book Antiqua"/>
          <w:sz w:val="22"/>
          <w:szCs w:val="22"/>
        </w:rPr>
        <w:t>nale “materia penale” (cfr. Grande Stevens e ulteriori pronunce della CEDU), si rileva la criticità di una misura afflittiva applicata a distanza di anni – quando la pena avre</w:t>
      </w:r>
      <w:r>
        <w:rPr>
          <w:rFonts w:ascii="Book Antiqua" w:hAnsi="Book Antiqua"/>
          <w:sz w:val="22"/>
          <w:szCs w:val="22"/>
        </w:rPr>
        <w:t>b</w:t>
      </w:r>
      <w:r>
        <w:rPr>
          <w:rFonts w:ascii="Book Antiqua" w:hAnsi="Book Antiqua"/>
          <w:sz w:val="22"/>
          <w:szCs w:val="22"/>
        </w:rPr>
        <w:t xml:space="preserve">be già dovuto adempiere la sua funzione tendenzialmente rieducativa -  sulla base di determinati “tipi di autore”. </w:t>
      </w:r>
    </w:p>
    <w:p w14:paraId="22419F9B" w14:textId="77777777" w:rsidR="006559B6" w:rsidRPr="006559B6" w:rsidRDefault="006559B6" w:rsidP="0092761F">
      <w:pPr>
        <w:suppressAutoHyphens w:val="0"/>
        <w:spacing w:after="0" w:line="240" w:lineRule="auto"/>
        <w:jc w:val="both"/>
        <w:rPr>
          <w:rFonts w:ascii="Book Antiqua" w:hAnsi="Book Antiqua"/>
          <w:sz w:val="22"/>
          <w:szCs w:val="22"/>
        </w:rPr>
      </w:pPr>
    </w:p>
    <w:p w14:paraId="5E5998B6" w14:textId="77777777" w:rsidR="00450C03" w:rsidRPr="006559B6" w:rsidRDefault="00450C03" w:rsidP="0092761F">
      <w:pPr>
        <w:suppressAutoHyphens w:val="0"/>
        <w:spacing w:after="0" w:line="240" w:lineRule="auto"/>
        <w:jc w:val="both"/>
        <w:rPr>
          <w:rFonts w:ascii="Book Antiqua" w:hAnsi="Book Antiqua"/>
          <w:sz w:val="22"/>
          <w:szCs w:val="22"/>
        </w:rPr>
      </w:pPr>
    </w:p>
    <w:p w14:paraId="105F1320" w14:textId="77777777" w:rsidR="00450C03" w:rsidRPr="006559B6" w:rsidRDefault="00450C03" w:rsidP="0092761F">
      <w:pPr>
        <w:suppressAutoHyphens w:val="0"/>
        <w:spacing w:after="0" w:line="240" w:lineRule="auto"/>
        <w:jc w:val="both"/>
        <w:rPr>
          <w:rFonts w:ascii="Book Antiqua" w:hAnsi="Book Antiqua"/>
          <w:sz w:val="22"/>
          <w:szCs w:val="22"/>
        </w:rPr>
      </w:pPr>
    </w:p>
    <w:p w14:paraId="695C951B" w14:textId="77777777" w:rsidR="00450C03" w:rsidRPr="006559B6" w:rsidRDefault="00450C03" w:rsidP="0092761F">
      <w:pPr>
        <w:suppressAutoHyphens w:val="0"/>
        <w:spacing w:after="0" w:line="240" w:lineRule="auto"/>
        <w:jc w:val="both"/>
        <w:rPr>
          <w:rFonts w:ascii="Book Antiqua" w:hAnsi="Book Antiqua"/>
          <w:sz w:val="22"/>
          <w:szCs w:val="22"/>
        </w:rPr>
      </w:pPr>
    </w:p>
    <w:sectPr w:rsidR="00450C03" w:rsidRPr="006559B6">
      <w:footerReference w:type="default" r:id="rId9"/>
      <w:pgSz w:w="11906" w:h="16838"/>
      <w:pgMar w:top="1701" w:right="1588" w:bottom="1588" w:left="181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3D48B" w14:textId="77777777" w:rsidR="00344ED2" w:rsidRDefault="00344ED2">
      <w:pPr>
        <w:spacing w:after="0" w:line="240" w:lineRule="auto"/>
      </w:pPr>
      <w:r>
        <w:separator/>
      </w:r>
    </w:p>
  </w:endnote>
  <w:endnote w:type="continuationSeparator" w:id="0">
    <w:p w14:paraId="76E1A14C" w14:textId="77777777" w:rsidR="00344ED2" w:rsidRDefault="00344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244439"/>
      <w:docPartObj>
        <w:docPartGallery w:val="Page Numbers (Bottom of Page)"/>
        <w:docPartUnique/>
      </w:docPartObj>
    </w:sdtPr>
    <w:sdtEndPr/>
    <w:sdtContent>
      <w:p w14:paraId="758D4A61" w14:textId="59C0F9EC" w:rsidR="00BA15E4" w:rsidRDefault="00BA15E4">
        <w:pPr>
          <w:pStyle w:val="Pidipagina"/>
          <w:jc w:val="center"/>
        </w:pPr>
        <w:r>
          <w:fldChar w:fldCharType="begin"/>
        </w:r>
        <w:r>
          <w:instrText>PAGE   \* MERGEFORMAT</w:instrText>
        </w:r>
        <w:r>
          <w:fldChar w:fldCharType="separate"/>
        </w:r>
        <w:r w:rsidR="006F2FF2">
          <w:rPr>
            <w:noProof/>
          </w:rPr>
          <w:t>3</w:t>
        </w:r>
        <w:r>
          <w:fldChar w:fldCharType="end"/>
        </w:r>
      </w:p>
    </w:sdtContent>
  </w:sdt>
  <w:p w14:paraId="668A50FF" w14:textId="77777777" w:rsidR="00BA15E4" w:rsidRDefault="00BA15E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5EAD9F" w14:textId="77777777" w:rsidR="00344ED2" w:rsidRDefault="00344ED2">
      <w:pPr>
        <w:spacing w:after="0" w:line="240" w:lineRule="auto"/>
      </w:pPr>
      <w:r>
        <w:rPr>
          <w:color w:val="000000"/>
        </w:rPr>
        <w:separator/>
      </w:r>
    </w:p>
  </w:footnote>
  <w:footnote w:type="continuationSeparator" w:id="0">
    <w:p w14:paraId="00B59BD7" w14:textId="77777777" w:rsidR="00344ED2" w:rsidRDefault="00344E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E68C3"/>
    <w:multiLevelType w:val="hybridMultilevel"/>
    <w:tmpl w:val="20FCC358"/>
    <w:lvl w:ilvl="0" w:tplc="48B47842">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5403B43"/>
    <w:multiLevelType w:val="multilevel"/>
    <w:tmpl w:val="8F007A46"/>
    <w:lvl w:ilvl="0">
      <w:start w:val="2"/>
      <w:numFmt w:val="decimal"/>
      <w:lvlText w:val="5.%1."/>
      <w:lvlJc w:val="left"/>
      <w:rPr>
        <w:rFonts w:ascii="Verdana" w:eastAsia="Verdana" w:hAnsi="Verdana" w:cs="Verdana"/>
        <w:b w:val="0"/>
        <w:bCs w:val="0"/>
        <w:i w:val="0"/>
        <w:iCs w:val="0"/>
        <w:smallCaps w:val="0"/>
        <w:strike w:val="0"/>
        <w:color w:val="000000"/>
        <w:spacing w:val="0"/>
        <w:w w:val="100"/>
        <w:position w:val="0"/>
        <w:sz w:val="19"/>
        <w:szCs w:val="19"/>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AB7DCA"/>
    <w:multiLevelType w:val="multilevel"/>
    <w:tmpl w:val="207C846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it-IT"/>
      </w:rPr>
    </w:lvl>
    <w:lvl w:ilvl="1">
      <w:start w:val="1"/>
      <w:numFmt w:val="decimal"/>
      <w:lvlText w:val="%1.%2."/>
      <w:lvlJc w:val="left"/>
      <w:rPr>
        <w:rFonts w:ascii="Verdana" w:eastAsia="Verdana" w:hAnsi="Verdana" w:cs="Verdana"/>
        <w:b w:val="0"/>
        <w:bCs w:val="0"/>
        <w:i w:val="0"/>
        <w:iCs w:val="0"/>
        <w:smallCaps w:val="0"/>
        <w:strike w:val="0"/>
        <w:color w:val="000000"/>
        <w:spacing w:val="0"/>
        <w:w w:val="100"/>
        <w:position w:val="0"/>
        <w:sz w:val="19"/>
        <w:szCs w:val="19"/>
        <w:u w:val="none"/>
        <w:lang w:val="it-I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C33A88"/>
    <w:multiLevelType w:val="multilevel"/>
    <w:tmpl w:val="52305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F74F39"/>
    <w:multiLevelType w:val="hybridMultilevel"/>
    <w:tmpl w:val="AA5E80EE"/>
    <w:lvl w:ilvl="0" w:tplc="5B0087AE">
      <w:start w:val="3"/>
      <w:numFmt w:val="bullet"/>
      <w:lvlText w:val="-"/>
      <w:lvlJc w:val="left"/>
      <w:pPr>
        <w:ind w:left="1071" w:hanging="360"/>
      </w:pPr>
      <w:rPr>
        <w:rFonts w:ascii="Book Antiqua" w:eastAsia="Times New Roman" w:hAnsi="Book Antiqua" w:cs="Times New Roman" w:hint="default"/>
      </w:rPr>
    </w:lvl>
    <w:lvl w:ilvl="1" w:tplc="04100003" w:tentative="1">
      <w:start w:val="1"/>
      <w:numFmt w:val="bullet"/>
      <w:lvlText w:val="o"/>
      <w:lvlJc w:val="left"/>
      <w:pPr>
        <w:ind w:left="1791" w:hanging="360"/>
      </w:pPr>
      <w:rPr>
        <w:rFonts w:ascii="Courier New" w:hAnsi="Courier New" w:cs="Courier New" w:hint="default"/>
      </w:rPr>
    </w:lvl>
    <w:lvl w:ilvl="2" w:tplc="04100005" w:tentative="1">
      <w:start w:val="1"/>
      <w:numFmt w:val="bullet"/>
      <w:lvlText w:val=""/>
      <w:lvlJc w:val="left"/>
      <w:pPr>
        <w:ind w:left="2511" w:hanging="360"/>
      </w:pPr>
      <w:rPr>
        <w:rFonts w:ascii="Wingdings" w:hAnsi="Wingdings" w:hint="default"/>
      </w:rPr>
    </w:lvl>
    <w:lvl w:ilvl="3" w:tplc="04100001" w:tentative="1">
      <w:start w:val="1"/>
      <w:numFmt w:val="bullet"/>
      <w:lvlText w:val=""/>
      <w:lvlJc w:val="left"/>
      <w:pPr>
        <w:ind w:left="3231" w:hanging="360"/>
      </w:pPr>
      <w:rPr>
        <w:rFonts w:ascii="Symbol" w:hAnsi="Symbol" w:hint="default"/>
      </w:rPr>
    </w:lvl>
    <w:lvl w:ilvl="4" w:tplc="04100003" w:tentative="1">
      <w:start w:val="1"/>
      <w:numFmt w:val="bullet"/>
      <w:lvlText w:val="o"/>
      <w:lvlJc w:val="left"/>
      <w:pPr>
        <w:ind w:left="3951" w:hanging="360"/>
      </w:pPr>
      <w:rPr>
        <w:rFonts w:ascii="Courier New" w:hAnsi="Courier New" w:cs="Courier New" w:hint="default"/>
      </w:rPr>
    </w:lvl>
    <w:lvl w:ilvl="5" w:tplc="04100005" w:tentative="1">
      <w:start w:val="1"/>
      <w:numFmt w:val="bullet"/>
      <w:lvlText w:val=""/>
      <w:lvlJc w:val="left"/>
      <w:pPr>
        <w:ind w:left="4671" w:hanging="360"/>
      </w:pPr>
      <w:rPr>
        <w:rFonts w:ascii="Wingdings" w:hAnsi="Wingdings" w:hint="default"/>
      </w:rPr>
    </w:lvl>
    <w:lvl w:ilvl="6" w:tplc="04100001" w:tentative="1">
      <w:start w:val="1"/>
      <w:numFmt w:val="bullet"/>
      <w:lvlText w:val=""/>
      <w:lvlJc w:val="left"/>
      <w:pPr>
        <w:ind w:left="5391" w:hanging="360"/>
      </w:pPr>
      <w:rPr>
        <w:rFonts w:ascii="Symbol" w:hAnsi="Symbol" w:hint="default"/>
      </w:rPr>
    </w:lvl>
    <w:lvl w:ilvl="7" w:tplc="04100003" w:tentative="1">
      <w:start w:val="1"/>
      <w:numFmt w:val="bullet"/>
      <w:lvlText w:val="o"/>
      <w:lvlJc w:val="left"/>
      <w:pPr>
        <w:ind w:left="6111" w:hanging="360"/>
      </w:pPr>
      <w:rPr>
        <w:rFonts w:ascii="Courier New" w:hAnsi="Courier New" w:cs="Courier New" w:hint="default"/>
      </w:rPr>
    </w:lvl>
    <w:lvl w:ilvl="8" w:tplc="04100005" w:tentative="1">
      <w:start w:val="1"/>
      <w:numFmt w:val="bullet"/>
      <w:lvlText w:val=""/>
      <w:lvlJc w:val="left"/>
      <w:pPr>
        <w:ind w:left="6831"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803"/>
    <w:rsid w:val="00012AC1"/>
    <w:rsid w:val="0003451E"/>
    <w:rsid w:val="00042F5B"/>
    <w:rsid w:val="00076641"/>
    <w:rsid w:val="000A4D91"/>
    <w:rsid w:val="00115E4A"/>
    <w:rsid w:val="00120C3E"/>
    <w:rsid w:val="00135BC1"/>
    <w:rsid w:val="00150A80"/>
    <w:rsid w:val="00153E77"/>
    <w:rsid w:val="00156289"/>
    <w:rsid w:val="00181948"/>
    <w:rsid w:val="001B6949"/>
    <w:rsid w:val="001E553E"/>
    <w:rsid w:val="001F42C7"/>
    <w:rsid w:val="002621D5"/>
    <w:rsid w:val="002A12D9"/>
    <w:rsid w:val="002C276C"/>
    <w:rsid w:val="002F555F"/>
    <w:rsid w:val="003308F5"/>
    <w:rsid w:val="00331CFF"/>
    <w:rsid w:val="0033403D"/>
    <w:rsid w:val="003424ED"/>
    <w:rsid w:val="00344ED2"/>
    <w:rsid w:val="003500AD"/>
    <w:rsid w:val="00387B82"/>
    <w:rsid w:val="003C77DF"/>
    <w:rsid w:val="003D2862"/>
    <w:rsid w:val="003D2E30"/>
    <w:rsid w:val="00450C03"/>
    <w:rsid w:val="00456E2B"/>
    <w:rsid w:val="0047735B"/>
    <w:rsid w:val="004C567E"/>
    <w:rsid w:val="004C5EBE"/>
    <w:rsid w:val="004E3B0E"/>
    <w:rsid w:val="004F2724"/>
    <w:rsid w:val="00551486"/>
    <w:rsid w:val="005A0F3C"/>
    <w:rsid w:val="005A6DB6"/>
    <w:rsid w:val="005B2110"/>
    <w:rsid w:val="005B58FA"/>
    <w:rsid w:val="00642DBF"/>
    <w:rsid w:val="006559B6"/>
    <w:rsid w:val="006618EF"/>
    <w:rsid w:val="00694909"/>
    <w:rsid w:val="006F063F"/>
    <w:rsid w:val="006F2FF2"/>
    <w:rsid w:val="007247A3"/>
    <w:rsid w:val="00726386"/>
    <w:rsid w:val="0077772B"/>
    <w:rsid w:val="00780179"/>
    <w:rsid w:val="00783BDE"/>
    <w:rsid w:val="007905EC"/>
    <w:rsid w:val="00816CD8"/>
    <w:rsid w:val="00823A33"/>
    <w:rsid w:val="0085043C"/>
    <w:rsid w:val="008525E1"/>
    <w:rsid w:val="008A585C"/>
    <w:rsid w:val="0092761F"/>
    <w:rsid w:val="009759BB"/>
    <w:rsid w:val="009812B0"/>
    <w:rsid w:val="009D7422"/>
    <w:rsid w:val="009F52FF"/>
    <w:rsid w:val="00A2192E"/>
    <w:rsid w:val="00A3627D"/>
    <w:rsid w:val="00A54782"/>
    <w:rsid w:val="00A71532"/>
    <w:rsid w:val="00A854CD"/>
    <w:rsid w:val="00A96480"/>
    <w:rsid w:val="00AA2B76"/>
    <w:rsid w:val="00AD070C"/>
    <w:rsid w:val="00B57240"/>
    <w:rsid w:val="00B76DA7"/>
    <w:rsid w:val="00BA15E4"/>
    <w:rsid w:val="00BB40E6"/>
    <w:rsid w:val="00C052EF"/>
    <w:rsid w:val="00C21743"/>
    <w:rsid w:val="00C301DC"/>
    <w:rsid w:val="00C3320B"/>
    <w:rsid w:val="00C44962"/>
    <w:rsid w:val="00C50498"/>
    <w:rsid w:val="00C53803"/>
    <w:rsid w:val="00C5522D"/>
    <w:rsid w:val="00CA7A64"/>
    <w:rsid w:val="00CF38D1"/>
    <w:rsid w:val="00D573BE"/>
    <w:rsid w:val="00DA20CF"/>
    <w:rsid w:val="00DD3422"/>
    <w:rsid w:val="00DE2DD1"/>
    <w:rsid w:val="00E31D26"/>
    <w:rsid w:val="00E448C2"/>
    <w:rsid w:val="00E450F8"/>
    <w:rsid w:val="00E5292E"/>
    <w:rsid w:val="00E64B04"/>
    <w:rsid w:val="00E67F81"/>
    <w:rsid w:val="00EF2570"/>
    <w:rsid w:val="00F10D15"/>
    <w:rsid w:val="00F14A27"/>
    <w:rsid w:val="00F42EB5"/>
    <w:rsid w:val="00F6124D"/>
    <w:rsid w:val="00F945B3"/>
    <w:rsid w:val="00FA6B55"/>
    <w:rsid w:val="00FB4F65"/>
    <w:rsid w:val="00FF46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3A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kern w:val="3"/>
        <w:sz w:val="24"/>
        <w:szCs w:val="24"/>
        <w:lang w:val="it-IT" w:eastAsia="en-US" w:bidi="ar-SA"/>
      </w:rPr>
    </w:rPrDefault>
    <w:pPrDefault>
      <w:pPr>
        <w:autoSpaceDN w:val="0"/>
        <w:spacing w:after="160" w:line="251"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style>
  <w:style w:type="paragraph" w:styleId="Titolo1">
    <w:name w:val="heading 1"/>
    <w:basedOn w:val="Normale"/>
    <w:next w:val="Normale"/>
    <w:link w:val="Titolo1Carattere"/>
    <w:uiPriority w:val="9"/>
    <w:qFormat/>
    <w:rsid w:val="00012A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012A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uiPriority w:val="99"/>
    <w:pPr>
      <w:spacing w:after="0" w:line="240" w:lineRule="auto"/>
    </w:pPr>
    <w:rPr>
      <w:sz w:val="20"/>
      <w:szCs w:val="20"/>
    </w:rPr>
  </w:style>
  <w:style w:type="character" w:customStyle="1" w:styleId="TestonotaapidipaginaCarattere">
    <w:name w:val="Testo nota a piè di pagina Carattere"/>
    <w:basedOn w:val="Carpredefinitoparagrafo"/>
    <w:uiPriority w:val="99"/>
    <w:rPr>
      <w:sz w:val="20"/>
      <w:szCs w:val="20"/>
    </w:rPr>
  </w:style>
  <w:style w:type="character" w:styleId="Rimandonotaapidipagina">
    <w:name w:val="footnote reference"/>
    <w:uiPriority w:val="99"/>
    <w:rPr>
      <w:position w:val="0"/>
      <w:vertAlign w:val="superscript"/>
    </w:rPr>
  </w:style>
  <w:style w:type="paragraph" w:styleId="Intestazione">
    <w:name w:val="header"/>
    <w:basedOn w:val="Normale"/>
    <w:pPr>
      <w:tabs>
        <w:tab w:val="center" w:pos="4819"/>
        <w:tab w:val="right" w:pos="9638"/>
      </w:tabs>
      <w:spacing w:after="0" w:line="240" w:lineRule="auto"/>
    </w:pPr>
  </w:style>
  <w:style w:type="character" w:customStyle="1" w:styleId="IntestazioneCarattere">
    <w:name w:val="Intestazione Carattere"/>
    <w:basedOn w:val="Carpredefinitoparagrafo"/>
  </w:style>
  <w:style w:type="paragraph" w:styleId="Pidipagina">
    <w:name w:val="footer"/>
    <w:basedOn w:val="Normale"/>
    <w:uiPriority w:val="99"/>
    <w:pPr>
      <w:tabs>
        <w:tab w:val="center" w:pos="4819"/>
        <w:tab w:val="right" w:pos="9638"/>
      </w:tabs>
      <w:spacing w:after="0" w:line="240" w:lineRule="auto"/>
    </w:pPr>
  </w:style>
  <w:style w:type="character" w:customStyle="1" w:styleId="PidipaginaCarattere">
    <w:name w:val="Piè di pagina Carattere"/>
    <w:basedOn w:val="Carpredefinitoparagrafo"/>
    <w:uiPriority w:val="99"/>
  </w:style>
  <w:style w:type="paragraph" w:styleId="Paragrafoelenco">
    <w:name w:val="List Paragraph"/>
    <w:basedOn w:val="Normale"/>
    <w:pPr>
      <w:ind w:left="720"/>
      <w:contextualSpacing/>
    </w:pPr>
  </w:style>
  <w:style w:type="paragraph" w:styleId="NormaleWeb">
    <w:name w:val="Normal (Web)"/>
    <w:basedOn w:val="Normale"/>
    <w:uiPriority w:val="99"/>
    <w:pPr>
      <w:suppressAutoHyphens w:val="0"/>
      <w:spacing w:before="100" w:after="100" w:line="240" w:lineRule="auto"/>
    </w:pPr>
    <w:rPr>
      <w:rFonts w:ascii="Times New Roman" w:eastAsia="Times New Roman" w:hAnsi="Times New Roman"/>
      <w:kern w:val="0"/>
      <w:lang w:eastAsia="it-IT"/>
    </w:rPr>
  </w:style>
  <w:style w:type="character" w:styleId="Enfasidelicata">
    <w:name w:val="Subtle Emphasis"/>
    <w:basedOn w:val="Carpredefinitoparagrafo"/>
    <w:uiPriority w:val="19"/>
    <w:qFormat/>
    <w:rsid w:val="00FF46D8"/>
    <w:rPr>
      <w:i/>
      <w:iCs/>
      <w:color w:val="404040" w:themeColor="text1" w:themeTint="BF"/>
    </w:rPr>
  </w:style>
  <w:style w:type="character" w:styleId="Collegamentoipertestuale">
    <w:name w:val="Hyperlink"/>
    <w:basedOn w:val="Carpredefinitoparagrafo"/>
    <w:uiPriority w:val="99"/>
    <w:unhideWhenUsed/>
    <w:rsid w:val="00783BDE"/>
    <w:rPr>
      <w:color w:val="0000FF"/>
      <w:u w:val="single"/>
    </w:rPr>
  </w:style>
  <w:style w:type="character" w:customStyle="1" w:styleId="Titolo1Carattere">
    <w:name w:val="Titolo 1 Carattere"/>
    <w:basedOn w:val="Carpredefinitoparagrafo"/>
    <w:link w:val="Titolo1"/>
    <w:uiPriority w:val="9"/>
    <w:rsid w:val="00012AC1"/>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012AC1"/>
    <w:pPr>
      <w:suppressAutoHyphens w:val="0"/>
      <w:autoSpaceDN/>
      <w:spacing w:line="259" w:lineRule="auto"/>
      <w:outlineLvl w:val="9"/>
    </w:pPr>
    <w:rPr>
      <w:kern w:val="0"/>
      <w:lang w:eastAsia="it-IT"/>
    </w:rPr>
  </w:style>
  <w:style w:type="paragraph" w:styleId="Sommario1">
    <w:name w:val="toc 1"/>
    <w:basedOn w:val="Normale"/>
    <w:next w:val="Normale"/>
    <w:autoRedefine/>
    <w:uiPriority w:val="39"/>
    <w:unhideWhenUsed/>
    <w:rsid w:val="00012AC1"/>
    <w:pPr>
      <w:spacing w:after="100"/>
    </w:pPr>
  </w:style>
  <w:style w:type="character" w:customStyle="1" w:styleId="Titolo2Carattere">
    <w:name w:val="Titolo 2 Carattere"/>
    <w:basedOn w:val="Carpredefinitoparagrafo"/>
    <w:link w:val="Titolo2"/>
    <w:uiPriority w:val="9"/>
    <w:semiHidden/>
    <w:rsid w:val="00012AC1"/>
    <w:rPr>
      <w:rFonts w:asciiTheme="majorHAnsi" w:eastAsiaTheme="majorEastAsia" w:hAnsiTheme="majorHAnsi" w:cstheme="majorBidi"/>
      <w:color w:val="2F5496" w:themeColor="accent1" w:themeShade="BF"/>
      <w:sz w:val="26"/>
      <w:szCs w:val="26"/>
    </w:rPr>
  </w:style>
  <w:style w:type="paragraph" w:styleId="Sommario2">
    <w:name w:val="toc 2"/>
    <w:basedOn w:val="Normale"/>
    <w:next w:val="Normale"/>
    <w:autoRedefine/>
    <w:uiPriority w:val="39"/>
    <w:unhideWhenUsed/>
    <w:rsid w:val="00012AC1"/>
    <w:pPr>
      <w:spacing w:after="100"/>
      <w:ind w:left="240"/>
    </w:pPr>
  </w:style>
  <w:style w:type="character" w:styleId="Enfasicorsivo">
    <w:name w:val="Emphasis"/>
    <w:basedOn w:val="Carpredefinitoparagrafo"/>
    <w:uiPriority w:val="20"/>
    <w:qFormat/>
    <w:rsid w:val="0033403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kern w:val="3"/>
        <w:sz w:val="24"/>
        <w:szCs w:val="24"/>
        <w:lang w:val="it-IT" w:eastAsia="en-US" w:bidi="ar-SA"/>
      </w:rPr>
    </w:rPrDefault>
    <w:pPrDefault>
      <w:pPr>
        <w:autoSpaceDN w:val="0"/>
        <w:spacing w:after="160" w:line="251"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style>
  <w:style w:type="paragraph" w:styleId="Titolo1">
    <w:name w:val="heading 1"/>
    <w:basedOn w:val="Normale"/>
    <w:next w:val="Normale"/>
    <w:link w:val="Titolo1Carattere"/>
    <w:uiPriority w:val="9"/>
    <w:qFormat/>
    <w:rsid w:val="00012A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012A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uiPriority w:val="99"/>
    <w:pPr>
      <w:spacing w:after="0" w:line="240" w:lineRule="auto"/>
    </w:pPr>
    <w:rPr>
      <w:sz w:val="20"/>
      <w:szCs w:val="20"/>
    </w:rPr>
  </w:style>
  <w:style w:type="character" w:customStyle="1" w:styleId="TestonotaapidipaginaCarattere">
    <w:name w:val="Testo nota a piè di pagina Carattere"/>
    <w:basedOn w:val="Carpredefinitoparagrafo"/>
    <w:uiPriority w:val="99"/>
    <w:rPr>
      <w:sz w:val="20"/>
      <w:szCs w:val="20"/>
    </w:rPr>
  </w:style>
  <w:style w:type="character" w:styleId="Rimandonotaapidipagina">
    <w:name w:val="footnote reference"/>
    <w:uiPriority w:val="99"/>
    <w:rPr>
      <w:position w:val="0"/>
      <w:vertAlign w:val="superscript"/>
    </w:rPr>
  </w:style>
  <w:style w:type="paragraph" w:styleId="Intestazione">
    <w:name w:val="header"/>
    <w:basedOn w:val="Normale"/>
    <w:pPr>
      <w:tabs>
        <w:tab w:val="center" w:pos="4819"/>
        <w:tab w:val="right" w:pos="9638"/>
      </w:tabs>
      <w:spacing w:after="0" w:line="240" w:lineRule="auto"/>
    </w:pPr>
  </w:style>
  <w:style w:type="character" w:customStyle="1" w:styleId="IntestazioneCarattere">
    <w:name w:val="Intestazione Carattere"/>
    <w:basedOn w:val="Carpredefinitoparagrafo"/>
  </w:style>
  <w:style w:type="paragraph" w:styleId="Pidipagina">
    <w:name w:val="footer"/>
    <w:basedOn w:val="Normale"/>
    <w:uiPriority w:val="99"/>
    <w:pPr>
      <w:tabs>
        <w:tab w:val="center" w:pos="4819"/>
        <w:tab w:val="right" w:pos="9638"/>
      </w:tabs>
      <w:spacing w:after="0" w:line="240" w:lineRule="auto"/>
    </w:pPr>
  </w:style>
  <w:style w:type="character" w:customStyle="1" w:styleId="PidipaginaCarattere">
    <w:name w:val="Piè di pagina Carattere"/>
    <w:basedOn w:val="Carpredefinitoparagrafo"/>
    <w:uiPriority w:val="99"/>
  </w:style>
  <w:style w:type="paragraph" w:styleId="Paragrafoelenco">
    <w:name w:val="List Paragraph"/>
    <w:basedOn w:val="Normale"/>
    <w:pPr>
      <w:ind w:left="720"/>
      <w:contextualSpacing/>
    </w:pPr>
  </w:style>
  <w:style w:type="paragraph" w:styleId="NormaleWeb">
    <w:name w:val="Normal (Web)"/>
    <w:basedOn w:val="Normale"/>
    <w:uiPriority w:val="99"/>
    <w:pPr>
      <w:suppressAutoHyphens w:val="0"/>
      <w:spacing w:before="100" w:after="100" w:line="240" w:lineRule="auto"/>
    </w:pPr>
    <w:rPr>
      <w:rFonts w:ascii="Times New Roman" w:eastAsia="Times New Roman" w:hAnsi="Times New Roman"/>
      <w:kern w:val="0"/>
      <w:lang w:eastAsia="it-IT"/>
    </w:rPr>
  </w:style>
  <w:style w:type="character" w:styleId="Enfasidelicata">
    <w:name w:val="Subtle Emphasis"/>
    <w:basedOn w:val="Carpredefinitoparagrafo"/>
    <w:uiPriority w:val="19"/>
    <w:qFormat/>
    <w:rsid w:val="00FF46D8"/>
    <w:rPr>
      <w:i/>
      <w:iCs/>
      <w:color w:val="404040" w:themeColor="text1" w:themeTint="BF"/>
    </w:rPr>
  </w:style>
  <w:style w:type="character" w:styleId="Collegamentoipertestuale">
    <w:name w:val="Hyperlink"/>
    <w:basedOn w:val="Carpredefinitoparagrafo"/>
    <w:uiPriority w:val="99"/>
    <w:unhideWhenUsed/>
    <w:rsid w:val="00783BDE"/>
    <w:rPr>
      <w:color w:val="0000FF"/>
      <w:u w:val="single"/>
    </w:rPr>
  </w:style>
  <w:style w:type="character" w:customStyle="1" w:styleId="Titolo1Carattere">
    <w:name w:val="Titolo 1 Carattere"/>
    <w:basedOn w:val="Carpredefinitoparagrafo"/>
    <w:link w:val="Titolo1"/>
    <w:uiPriority w:val="9"/>
    <w:rsid w:val="00012AC1"/>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012AC1"/>
    <w:pPr>
      <w:suppressAutoHyphens w:val="0"/>
      <w:autoSpaceDN/>
      <w:spacing w:line="259" w:lineRule="auto"/>
      <w:outlineLvl w:val="9"/>
    </w:pPr>
    <w:rPr>
      <w:kern w:val="0"/>
      <w:lang w:eastAsia="it-IT"/>
    </w:rPr>
  </w:style>
  <w:style w:type="paragraph" w:styleId="Sommario1">
    <w:name w:val="toc 1"/>
    <w:basedOn w:val="Normale"/>
    <w:next w:val="Normale"/>
    <w:autoRedefine/>
    <w:uiPriority w:val="39"/>
    <w:unhideWhenUsed/>
    <w:rsid w:val="00012AC1"/>
    <w:pPr>
      <w:spacing w:after="100"/>
    </w:pPr>
  </w:style>
  <w:style w:type="character" w:customStyle="1" w:styleId="Titolo2Carattere">
    <w:name w:val="Titolo 2 Carattere"/>
    <w:basedOn w:val="Carpredefinitoparagrafo"/>
    <w:link w:val="Titolo2"/>
    <w:uiPriority w:val="9"/>
    <w:semiHidden/>
    <w:rsid w:val="00012AC1"/>
    <w:rPr>
      <w:rFonts w:asciiTheme="majorHAnsi" w:eastAsiaTheme="majorEastAsia" w:hAnsiTheme="majorHAnsi" w:cstheme="majorBidi"/>
      <w:color w:val="2F5496" w:themeColor="accent1" w:themeShade="BF"/>
      <w:sz w:val="26"/>
      <w:szCs w:val="26"/>
    </w:rPr>
  </w:style>
  <w:style w:type="paragraph" w:styleId="Sommario2">
    <w:name w:val="toc 2"/>
    <w:basedOn w:val="Normale"/>
    <w:next w:val="Normale"/>
    <w:autoRedefine/>
    <w:uiPriority w:val="39"/>
    <w:unhideWhenUsed/>
    <w:rsid w:val="00012AC1"/>
    <w:pPr>
      <w:spacing w:after="100"/>
      <w:ind w:left="240"/>
    </w:pPr>
  </w:style>
  <w:style w:type="character" w:styleId="Enfasicorsivo">
    <w:name w:val="Emphasis"/>
    <w:basedOn w:val="Carpredefinitoparagrafo"/>
    <w:uiPriority w:val="20"/>
    <w:qFormat/>
    <w:rsid w:val="003340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429895">
      <w:bodyDiv w:val="1"/>
      <w:marLeft w:val="0"/>
      <w:marRight w:val="0"/>
      <w:marTop w:val="0"/>
      <w:marBottom w:val="0"/>
      <w:divBdr>
        <w:top w:val="none" w:sz="0" w:space="0" w:color="auto"/>
        <w:left w:val="none" w:sz="0" w:space="0" w:color="auto"/>
        <w:bottom w:val="none" w:sz="0" w:space="0" w:color="auto"/>
        <w:right w:val="none" w:sz="0" w:space="0" w:color="auto"/>
      </w:divBdr>
    </w:div>
    <w:div w:id="2126387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02913-9488-419E-B803-B0E638D28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1</Pages>
  <Words>4259</Words>
  <Characters>24281</Characters>
  <Application>Microsoft Office Word</Application>
  <DocSecurity>0</DocSecurity>
  <Lines>202</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D'amato</dc:creator>
  <dc:description/>
  <cp:lastModifiedBy>Luca Della Ragione</cp:lastModifiedBy>
  <cp:revision>4</cp:revision>
  <cp:lastPrinted>2023-09-09T15:15:00Z</cp:lastPrinted>
  <dcterms:created xsi:type="dcterms:W3CDTF">2024-05-20T09:03:00Z</dcterms:created>
  <dcterms:modified xsi:type="dcterms:W3CDTF">2024-05-20T10:45:00Z</dcterms:modified>
</cp:coreProperties>
</file>